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pPr>
    </w:p>
    <w:p>
      <w:pPr>
        <w:spacing w:after="0" w:before="0" w:line="480"/>
      </w:pPr>
    </w:p>
    <w:p>
      <w:pPr>
        <w:spacing w:after="0" w:before="0" w:line="480"/>
        <w:jc w:val="center"/>
      </w:pPr>
      <w:commentRangeStart w:id="0"/>
      <w:r>
        <w:rPr>
          <w:b/>
          <w:bCs/>
        </w:rPr>
        <w:t xml:space="preserve">Pricing Work or Pricing Risk? A Worked Tender Example</w:t>
      </w:r>
      <w:commentRangeEnd w:id="0"/>
      <w:r>
        <w:commentReference w:id="0"/>
      </w:r>
    </w:p>
    <w:p>
      <w:pPr>
        <w:spacing w:after="0" w:before="0" w:line="480"/>
        <w:jc w:val="center"/>
      </w:pPr>
      <w:r>
        <w:rPr>
          <w:b w:val="false"/>
          <w:bCs w:val="false"/>
        </w:rPr>
        <w:t xml:space="preserve">BU504 Construction Management, practice example in the style of Question 1</w:t>
      </w:r>
    </w:p>
    <w:p>
      <w:pPr>
        <w:spacing w:after="0" w:before="0" w:line="480"/>
        <w:jc w:val="center"/>
      </w:pPr>
      <w:r>
        <w:rPr>
          <w:b w:val="false"/>
          <w:bCs w:val="false"/>
        </w:rPr>
        <w:t xml:space="preserve">October 19, 2026</w:t>
      </w:r>
    </w:p>
    <w:p>
      <w:pPr>
        <w:spacing w:after="0" w:before="0" w:line="480"/>
      </w:pP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document is an example for illustration purposes only. It prices different items, for a fictitious contractor and project, using fictitious figures, so it does not answer BU504 Question 1. Do not submit any part of it. If you need assistance with your BU504 assignment,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pPr>
        <w:spacing w:after="0" w:before="0" w:line="480"/>
        <w:ind w:firstLine="720"/>
      </w:pPr>
      <w:r>
        <w:rPr>
          <w:b/>
          <w:bCs/>
          <w:i/>
          <w:iCs/>
        </w:rPr>
        <w:t xml:space="preserve">Practice scenario: </w:t>
      </w:r>
      <w:r>
        <w:rPr>
          <w:i/>
          <w:iCs/>
        </w:rPr>
        <w:t xml:space="preserve">Northgate Build Ltd is tendering for a four-storey car park at a regional hospital. Its estimator must price (i) temporary edge protection to 200 m of open deck edges for the 8 weeks that operatives will work at the top level, and (ii) earthwork support to 1,200 m² of drainage trench faces, 300 m² of manhole pit faces, and 400 m² of shallow pad footing faces. A scaffold subcontractor has quoted £6,000 for 4 weeks, plus £250 per week for any extra hire, on a fixed price that expires before the start date. The estimator's rates are £12/m² (drainage trenches), £18/m² (manhole pits), and £4/m² (pad footings). The ground report describes loose sand with a high water table. Managers have hinted that the tender would be lowest if support to the shallow footings were left out and the edge protection priced for the quoted 4 weeks only.</w:t>
      </w:r>
    </w:p>
    <w:p>
      <w:pPr>
        <w:keepNext/>
        <w:spacing w:after="0" w:before="0" w:line="480"/>
        <w:jc w:val="center"/>
      </w:pPr>
      <w:commentRangeStart w:id="1"/>
      <w:r>
        <w:rPr>
          <w:b/>
          <w:bCs/>
        </w:rPr>
        <w:t xml:space="preserve">Part (a): Build-Up and Reasoning</w:t>
      </w:r>
      <w:commentRangeEnd w:id="1"/>
      <w:r>
        <w:commentReference w:id="1"/>
      </w:r>
    </w:p>
    <w:p>
      <w:pPr>
        <w:keepNext/>
        <w:spacing w:after="0" w:before="0" w:line="480"/>
      </w:pPr>
      <w:r>
        <w:rPr>
          <w:b/>
          <w:bCs/>
        </w:rPr>
        <w:t xml:space="preserve">Assumptions</w:t>
      </w:r>
    </w:p>
    <w:p>
      <w:pPr>
        <w:spacing w:after="0" w:before="0" w:line="480"/>
        <w:ind w:firstLine="720"/>
      </w:pPr>
      <w:r>
        <w:t xml:space="preserve">The edge protection is required for the full 8 weeks that operatives will be exposed at the top deck, not for the 4 weeks quoted. An 8% allowance is added to the scaffold quotation because its fixed price expires before the project starts (within the 5 to 10% range, chosen to reflect the risk that the subcontractor reprices once its fixed price lapses). An allowance of 15% is added to all items for overheads, profit, and general attendance (the middle of a 10 to 20% range, reflecting a competitive but not loss-leading bid). Because the ground report describes loose sand and a high water table, every excavation face is treated as unstable and is supported, including the shallow pad footings.</w:t>
      </w:r>
    </w:p>
    <w:p>
      <w:pPr>
        <w:keepNext/>
        <w:spacing w:after="0" w:before="0" w:line="480"/>
      </w:pPr>
      <w:r>
        <w:rPr>
          <w:b/>
          <w:bCs/>
        </w:rPr>
        <w:t xml:space="preserve">Item (i): Temporary edge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3760"/>
        <w:gridCol w:w="2000"/>
      </w:tblGrid>
      <w:tr>
        <w:trPr>
          <w:cantSplit/>
          <w:tblHeader/>
        </w:trPr>
        <w:tc>
          <w:tcPr>
            <w:tcW w:type="dxa" w:w="36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left"/>
            </w:pPr>
            <w:r>
              <w:rPr>
                <w:b/>
                <w:bCs/>
                <w:sz w:val="21"/>
                <w:szCs w:val="21"/>
              </w:rPr>
              <w:t xml:space="preserve">Step</w:t>
            </w:r>
          </w:p>
        </w:tc>
        <w:tc>
          <w:tcPr>
            <w:tcW w:type="dxa" w:w="376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left"/>
            </w:pPr>
            <w:r>
              <w:rPr>
                <w:b/>
                <w:bCs/>
                <w:sz w:val="21"/>
                <w:szCs w:val="21"/>
              </w:rPr>
              <w:t xml:space="preserve">Calculation</w:t>
            </w:r>
          </w:p>
        </w:tc>
        <w:tc>
          <w:tcPr>
            <w:tcW w:type="dxa" w:w="20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right"/>
            </w:pPr>
            <w:r>
              <w:rPr>
                <w:b/>
                <w:bCs/>
                <w:sz w:val="21"/>
                <w:szCs w:val="21"/>
              </w:rPr>
              <w:t xml:space="preserve">Amount (£)</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Quotation, first 4 weeks</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As quoted</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6,000.00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Extra hire, weeks 5 to 8</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4 weeks × £250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1,000.00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Subtotal, 8 weeks</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£6,000 + £1,000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7,000.00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Allowance for expiring fixed price</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8% × £7,000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560.00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Adjusted subcontract cost</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£7,000 + £560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7,560.00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Overheads, profit, and attendance</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15% × £7,560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1,134.00</w:t>
            </w:r>
          </w:p>
        </w:tc>
      </w:tr>
      <w:tr>
        <w:trPr>
          <w:cantSplit/>
          <w:tblHeader w:val="false"/>
        </w:trPr>
        <w:tc>
          <w:tcPr>
            <w:tcW w:type="dxa" w:w="360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left"/>
            </w:pPr>
            <w:r>
              <w:rPr>
                <w:b/>
                <w:bCs/>
                <w:sz w:val="21"/>
                <w:szCs w:val="21"/>
              </w:rPr>
              <w:t xml:space="preserve">Item (i) total</w:t>
            </w:r>
          </w:p>
        </w:tc>
        <w:tc>
          <w:tcPr>
            <w:tcW w:type="dxa" w:w="376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left"/>
            </w:pPr>
            <w:r>
              <w:rPr>
                <w:b/>
                <w:bCs/>
                <w:sz w:val="21"/>
                <w:szCs w:val="21"/>
              </w:rPr>
              <w:t xml:space="preserve"/>
            </w:r>
          </w:p>
        </w:tc>
        <w:tc>
          <w:tcPr>
            <w:tcW w:type="dxa" w:w="200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right"/>
            </w:pPr>
            <w:r>
              <w:rPr>
                <w:b/>
                <w:bCs/>
                <w:sz w:val="21"/>
                <w:szCs w:val="21"/>
              </w:rPr>
              <w:t xml:space="preserve">8,694.00</w:t>
            </w:r>
          </w:p>
        </w:tc>
      </w:tr>
    </w:tbl>
    <w:p>
      <w:pPr>
        <w:spacing w:after="0" w:before="0" w:line="480"/>
      </w:pPr>
    </w:p>
    <w:p>
      <w:pPr>
        <w:keepNext/>
        <w:spacing w:after="0" w:before="0" w:line="480"/>
      </w:pPr>
      <w:r>
        <w:rPr>
          <w:b/>
          <w:bCs/>
        </w:rPr>
        <w:t xml:space="preserve">Item (ii): Earthwork support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3760"/>
        <w:gridCol w:w="2000"/>
      </w:tblGrid>
      <w:tr>
        <w:trPr>
          <w:cantSplit/>
          <w:tblHeader/>
        </w:trPr>
        <w:tc>
          <w:tcPr>
            <w:tcW w:type="dxa" w:w="36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left"/>
            </w:pPr>
            <w:r>
              <w:rPr>
                <w:b/>
                <w:bCs/>
                <w:sz w:val="21"/>
                <w:szCs w:val="21"/>
              </w:rPr>
              <w:t xml:space="preserve">Excavation</w:t>
            </w:r>
          </w:p>
        </w:tc>
        <w:tc>
          <w:tcPr>
            <w:tcW w:type="dxa" w:w="376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left"/>
            </w:pPr>
            <w:r>
              <w:rPr>
                <w:b/>
                <w:bCs/>
                <w:sz w:val="21"/>
                <w:szCs w:val="21"/>
              </w:rPr>
              <w:t xml:space="preserve">Calculation</w:t>
            </w:r>
          </w:p>
        </w:tc>
        <w:tc>
          <w:tcPr>
            <w:tcW w:type="dxa" w:w="2000"/>
            <w:tcBorders>
              <w:top w:val="single" w:color="8899AA" w:sz="4"/>
              <w:left w:val="single" w:color="8899AA" w:sz="4"/>
              <w:bottom w:val="single" w:color="8899AA" w:sz="4"/>
              <w:right w:val="single" w:color="8899AA" w:sz="4"/>
            </w:tcBorders>
            <w:shd w:fill="DCE6F0" w:color="auto" w:val="clear"/>
            <w:tcMar>
              <w:top w:type="dxa" w:w="50"/>
              <w:left w:type="dxa" w:w="90"/>
              <w:bottom w:type="dxa" w:w="50"/>
              <w:right w:type="dxa" w:w="90"/>
            </w:tcMar>
          </w:tcPr>
          <w:p>
            <w:pPr>
              <w:spacing w:line="250"/>
              <w:jc w:val="right"/>
            </w:pPr>
            <w:r>
              <w:rPr>
                <w:b/>
                <w:bCs/>
                <w:sz w:val="21"/>
                <w:szCs w:val="21"/>
              </w:rPr>
              <w:t xml:space="preserve">Amount (£)</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Drainage trench faces</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1,200 m² × £12</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14,400.00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Manhole pit faces</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300 m² × £18</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5,400.00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Shallow pad footing faces</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400 m² × £4</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1,600.00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Subtotal</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21,400.00</w:t>
            </w:r>
          </w:p>
        </w:tc>
      </w:tr>
      <w:tr>
        <w:trPr>
          <w:cantSplit/>
          <w:tblHeader w:val="false"/>
        </w:trPr>
        <w:tc>
          <w:tcPr>
            <w:tcW w:type="dxa" w:w="36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Overheads, profit, and attendance</w:t>
            </w:r>
          </w:p>
        </w:tc>
        <w:tc>
          <w:tcPr>
            <w:tcW w:type="dxa" w:w="376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left"/>
            </w:pPr>
            <w:r>
              <w:rPr>
                <w:b w:val="false"/>
                <w:bCs w:val="false"/>
                <w:sz w:val="21"/>
                <w:szCs w:val="21"/>
              </w:rPr>
              <w:t xml:space="preserve">15% × £21,400</w:t>
            </w:r>
          </w:p>
        </w:tc>
        <w:tc>
          <w:tcPr>
            <w:tcW w:type="dxa" w:w="2000"/>
            <w:tcBorders>
              <w:top w:val="single" w:color="8899AA" w:sz="4"/>
              <w:left w:val="single" w:color="8899AA" w:sz="4"/>
              <w:bottom w:val="single" w:color="8899AA" w:sz="4"/>
              <w:right w:val="single" w:color="8899AA" w:sz="4"/>
            </w:tcBorders>
            <w:tcMar>
              <w:top w:type="dxa" w:w="50"/>
              <w:left w:type="dxa" w:w="90"/>
              <w:bottom w:type="dxa" w:w="50"/>
              <w:right w:type="dxa" w:w="90"/>
            </w:tcMar>
          </w:tcPr>
          <w:p>
            <w:pPr>
              <w:spacing w:line="250"/>
              <w:jc w:val="right"/>
            </w:pPr>
            <w:r>
              <w:rPr>
                <w:b w:val="false"/>
                <w:bCs w:val="false"/>
                <w:sz w:val="21"/>
                <w:szCs w:val="21"/>
              </w:rPr>
              <w:t xml:space="preserve">3,210.00</w:t>
            </w:r>
          </w:p>
        </w:tc>
      </w:tr>
      <w:tr>
        <w:trPr>
          <w:cantSplit/>
          <w:tblHeader w:val="false"/>
        </w:trPr>
        <w:tc>
          <w:tcPr>
            <w:tcW w:type="dxa" w:w="360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left"/>
            </w:pPr>
            <w:r>
              <w:rPr>
                <w:b/>
                <w:bCs/>
                <w:sz w:val="21"/>
                <w:szCs w:val="21"/>
              </w:rPr>
              <w:t xml:space="preserve">Item (ii) total</w:t>
            </w:r>
          </w:p>
        </w:tc>
        <w:tc>
          <w:tcPr>
            <w:tcW w:type="dxa" w:w="376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left"/>
            </w:pPr>
            <w:r>
              <w:rPr>
                <w:b/>
                <w:bCs/>
                <w:sz w:val="21"/>
                <w:szCs w:val="21"/>
              </w:rPr>
              <w:t xml:space="preserve"/>
            </w:r>
          </w:p>
        </w:tc>
        <w:tc>
          <w:tcPr>
            <w:tcW w:type="dxa" w:w="2000"/>
            <w:tcBorders>
              <w:top w:val="single" w:color="8899AA" w:sz="4"/>
              <w:left w:val="single" w:color="8899AA" w:sz="4"/>
              <w:bottom w:val="single" w:color="8899AA" w:sz="4"/>
              <w:right w:val="single" w:color="8899AA" w:sz="4"/>
            </w:tcBorders>
            <w:shd w:fill="F2F5F9" w:color="auto" w:val="clear"/>
            <w:tcMar>
              <w:top w:type="dxa" w:w="50"/>
              <w:left w:type="dxa" w:w="90"/>
              <w:bottom w:type="dxa" w:w="50"/>
              <w:right w:type="dxa" w:w="90"/>
            </w:tcMar>
          </w:tcPr>
          <w:p>
            <w:pPr>
              <w:spacing w:line="250"/>
              <w:jc w:val="right"/>
            </w:pPr>
            <w:r>
              <w:rPr>
                <w:b/>
                <w:bCs/>
                <w:sz w:val="21"/>
                <w:szCs w:val="21"/>
              </w:rPr>
              <w:t xml:space="preserve">24,610.00</w:t>
            </w:r>
          </w:p>
        </w:tc>
      </w:tr>
    </w:tbl>
    <w:p>
      <w:pPr>
        <w:spacing w:after="0" w:before="0" w:line="480"/>
      </w:pPr>
    </w:p>
    <w:p>
      <w:pPr>
        <w:spacing w:after="0" w:before="0" w:line="480"/>
        <w:ind w:firstLine="720"/>
      </w:pPr>
      <w:r>
        <w:rPr>
          <w:b/>
          <w:bCs/>
        </w:rPr>
        <w:t xml:space="preserve">Total included in the tender for both items: £33,304.00.</w:t>
      </w:r>
    </w:p>
    <w:p>
      <w:pPr>
        <w:keepNext/>
        <w:spacing w:after="0" w:before="0" w:line="480"/>
      </w:pPr>
      <w:r>
        <w:rPr>
          <w:b/>
          <w:bCs/>
        </w:rPr>
        <w:t xml:space="preserve">Reasoning</w:t>
      </w:r>
    </w:p>
    <w:p>
      <w:pPr>
        <w:spacing w:after="0" w:before="0" w:line="480"/>
        <w:ind w:firstLine="720"/>
      </w:pPr>
      <w:r>
        <w:t xml:space="preserve">I priced edge protection for the full 8 weeks because the risk of a fall exists for as long as operatives work at the open edge. Pricing only the quoted 4 weeks would either leave the edges unprotected for half the period or leave Northgate to fund the extra hire from its margin. I priced support to every excavation face because the ground report describes loose sand and a high water table, conditions in which even shallow faces can collapse. Regulation 22 of the Construction (Design and Management) Regulations 2015 requires all practicable steps to ensure that no excavation collapses, including "the provision of supports or battering" where necessary. Leaving out the shallow footing support would reduce the bid by only £1,840 including overheads and profit, a small saving for a significant risk.</w:t>
      </w:r>
    </w:p>
    <w:p>
      <w:pPr>
        <w:keepNext/>
        <w:spacing w:after="0" w:before="0" w:line="480"/>
        <w:jc w:val="center"/>
      </w:pPr>
      <w:commentRangeStart w:id="2"/>
      <w:r>
        <w:rPr>
          <w:b/>
          <w:bCs/>
        </w:rPr>
        <w:t xml:space="preserve">Part (b): Is the Estimator Pricing Work or Risk?</w:t>
      </w:r>
      <w:commentRangeEnd w:id="2"/>
      <w:r>
        <w:commentReference w:id="2"/>
      </w:r>
    </w:p>
    <w:p>
      <w:pPr>
        <w:spacing w:after="0" w:before="0" w:line="480"/>
        <w:ind w:firstLine="720"/>
      </w:pPr>
      <w:r>
        <w:t xml:space="preserve">The build-up above shows that an estimator prices both, but that the decisions with the greatest consequences are about risk. The quantities and rates describe work; the choices about duration, allowances, and which faces to support describe how much risk Northgate is prepared to carry.</w:t>
      </w:r>
    </w:p>
    <w:p>
      <w:pPr>
        <w:spacing w:after="0" w:before="0" w:line="480"/>
        <w:ind w:firstLine="720"/>
      </w:pPr>
      <w:r>
        <w:rPr>
          <w:b/>
          <w:bCs/>
        </w:rPr>
        <w:t xml:space="preserve">Health and safety risk.</w:t>
      </w:r>
      <w:r>
        <w:t xml:space="preserve"> The edge protection and trench support are not productive work in themselves; they exist to prevent falls and collapses. The Work at Height Regulations 2005 require employers to take suitable and sufficient measures to prevent, so far as is reasonably practicable, a fall liable to cause personal injury (reg. 6(3)). Pricing these items fully is pricing the cost of controlling that risk.</w:t>
      </w:r>
    </w:p>
    <w:p>
      <w:pPr>
        <w:spacing w:after="0" w:before="0" w:line="480"/>
        <w:ind w:firstLine="720"/>
      </w:pPr>
      <w:r>
        <w:rPr>
          <w:b/>
          <w:bCs/>
        </w:rPr>
        <w:t xml:space="preserve">Financial risk.</w:t>
      </w:r>
      <w:r>
        <w:t xml:space="preserve"> The 8% allowance on the scaffold quotation prices the risk that the subcontractor's price rises before work starts. The overheads and profit allowance prices the risk of carrying the contract. If the estimator had priced 4 weeks of edge protection, Northgate would carry an unpriced cost of at least £1,000 plus allowances, which would erode a thin margin.</w:t>
      </w:r>
    </w:p>
    <w:p>
      <w:pPr>
        <w:spacing w:after="0" w:before="0" w:line="480"/>
        <w:ind w:firstLine="720"/>
      </w:pPr>
      <w:r>
        <w:rPr>
          <w:b/>
          <w:bCs/>
        </w:rPr>
        <w:t xml:space="preserve">Ethical considerations.</w:t>
      </w:r>
      <w:r>
        <w:t xml:space="preserve"> Removing safety measures to win a tender transfers risk from the company to its operatives. The RICS Rules of Conduct require members to act with integrity and in the public interest, and to take responsibility for their actions (RICS, 2021). A deliberately low safety allowance would be difficult to reconcile with those obligations, and it may also mislead the client about the true cost of building the project safely.</w:t>
      </w:r>
    </w:p>
    <w:p>
      <w:pPr>
        <w:keepNext/>
        <w:spacing w:after="0" w:before="0" w:line="480"/>
        <w:jc w:val="center"/>
      </w:pPr>
      <w:commentRangeStart w:id="3"/>
      <w:r>
        <w:rPr>
          <w:b/>
          <w:bCs/>
        </w:rPr>
        <w:t xml:space="preserve">Part (c): Is the Proposed Course of Action Justified?</w:t>
      </w:r>
      <w:commentRangeEnd w:id="3"/>
      <w:r>
        <w:commentReference w:id="3"/>
      </w:r>
    </w:p>
    <w:p>
      <w:pPr>
        <w:spacing w:after="0" w:before="0" w:line="480"/>
        <w:ind w:firstLine="720"/>
      </w:pPr>
      <w:r>
        <w:rPr>
          <w:b/>
          <w:bCs/>
        </w:rPr>
        <w:t xml:space="preserve">Commercial perspective.</w:t>
      </w:r>
      <w:r>
        <w:t xml:space="preserve"> Including full edge protection and support may cost Northgate the lowest-price position. However, an unpriced safety requirement would still have to be provided, at Northgate's cost, once work begins, so the lower bid would only shift the expense from the tender to the contract. Pricing the full requirement is commercially sound.</w:t>
      </w:r>
    </w:p>
    <w:p>
      <w:pPr>
        <w:spacing w:after="0" w:before="0" w:line="480"/>
        <w:ind w:firstLine="720"/>
      </w:pPr>
      <w:r>
        <w:rPr>
          <w:b/>
          <w:bCs/>
        </w:rPr>
        <w:t xml:space="preserve">Health and safety perspective.</w:t>
      </w:r>
      <w:r>
        <w:t xml:space="preserve"> The approach meets the duties in the Work at Height Regulations 2005 and in regulation 22 of the CDM Regulations 2015. It is justified because it controls the two most obvious hazards on this project.</w:t>
      </w:r>
    </w:p>
    <w:p>
      <w:pPr>
        <w:spacing w:after="0" w:before="0" w:line="480"/>
        <w:ind w:firstLine="720"/>
      </w:pPr>
      <w:r>
        <w:rPr>
          <w:b/>
          <w:bCs/>
        </w:rPr>
        <w:t xml:space="preserve">Ethical perspective.</w:t>
      </w:r>
      <w:r>
        <w:t xml:space="preserve"> The approach keeps the risk with the party that can control it, the contractor, rather than with operatives. It is consistent with the RICS duty to act in the public interest (RICS, 2021). On all three perspectives, the course of action can be justified.</w:t>
      </w:r>
    </w:p>
    <w:p>
      <w:pPr>
        <w:pageBreakBefore/>
        <w:spacing w:after="0" w:before="0" w:line="480"/>
        <w:jc w:val="center"/>
      </w:pPr>
      <w:r>
        <w:rPr>
          <w:b/>
          <w:bCs/>
        </w:rPr>
        <w:t xml:space="preserve">References</w:t>
      </w:r>
    </w:p>
    <w:p>
      <w:pPr>
        <w:spacing w:after="0" w:before="0" w:line="480"/>
        <w:ind w:left="720" w:hanging="720"/>
      </w:pPr>
      <w:r>
        <w:rPr>
          <w:i/>
          <w:iCs/>
        </w:rPr>
        <w:t xml:space="preserve">The Construction (Design and Management) Regulations 2015</w:t>
      </w:r>
      <w:r>
        <w:t xml:space="preserve">, SI 2015/51, reg. 22. https://www.legislation.gov.uk/uksi/2015/51/regulation/22</w:t>
      </w:r>
    </w:p>
    <w:p>
      <w:pPr>
        <w:spacing w:after="0" w:before="0" w:line="480"/>
        <w:ind w:left="720" w:hanging="720"/>
      </w:pPr>
      <w:r>
        <w:t xml:space="preserve">Royal Institution of Chartered Surveyors. (2021). </w:t>
      </w:r>
      <w:r>
        <w:rPr>
          <w:i/>
          <w:iCs/>
        </w:rPr>
        <w:t xml:space="preserve">Rules of conduct</w:t>
      </w:r>
      <w:r>
        <w:t xml:space="preserve"> (Global ed.; effective 2 February 2022). https://www.rics.org/content/dam/ricsglobal/documents/standards/2021_roc_en.pdf</w:t>
      </w:r>
    </w:p>
    <w:p>
      <w:pPr>
        <w:spacing w:after="0" w:before="0" w:line="480"/>
        <w:ind w:left="720" w:hanging="720"/>
      </w:pPr>
      <w:r>
        <w:rPr>
          <w:i/>
          <w:iCs/>
        </w:rPr>
        <w:t xml:space="preserve">The Work at Height Regulations 2005</w:t>
      </w:r>
      <w:r>
        <w:t xml:space="preserve">, SI 2005/735, reg. 6. https://www.legislation.gov.uk/uksi/2005/735/regulation/6</w:t>
      </w:r>
    </w:p>
    <w:sectPr>
      <w:headerReference w:type="default" r:id="rId7"/>
      <w:pgSz w:w="11906" w:h="16838" w:orient="portrait"/>
      <w:pgMar w:top="1440" w:right="1270" w:bottom="1440" w:left="127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Northgate Build Ltd, the car park project, the quotation, rates, and ground report are fictitious, and the items priced are different from those in BU504 Question 1. Your answer must use the figures and items in your own question, in your own words.</w:t>
      </w:r>
    </w:p>
  </w:comment>
  <w:comment w:id="1" w:author="Gradevia Editorial" w:date="2026-10-15T00:00:00.000Z">
    <w:p>
      <w:r>
        <w:t xml:space="preserve">Part (a): Show every figure, state each assumption, and give the reason for each pricing decision.</w:t>
      </w:r>
    </w:p>
  </w:comment>
  <w:comment w:id="2" w:author="Gradevia Editorial" w:date="2026-10-15T00:00:00.000Z">
    <w:p>
      <w:r>
        <w:t xml:space="preserve">Part (b): Uses the figures from part (a) to argue the point, and covers health and safety risk, financial risk, and ethics as separate threads.</w:t>
      </w:r>
    </w:p>
  </w:comment>
  <w:comment w:id="3" w:author="Gradevia Editorial" w:date="2026-10-15T00:00:00.000Z">
    <w:p>
      <w:r>
        <w:t xml:space="preserve">Part (c): Three short verdicts, each from a different perspective.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Work or Pricing Risk? A Worked Tender Example</dc:title>
  <dc:creator>Gradevia</dc:creator>
  <cp:lastModifiedBy>Un-named</cp:lastModifiedBy>
  <cp:revision>1</cp:revision>
  <dcterms:created xsi:type="dcterms:W3CDTF">2026-10-19T08:27:03.487Z</dcterms:created>
  <dcterms:modified xsi:type="dcterms:W3CDTF">2026-10-19T08:27:03.488Z</dcterms:modified>
</cp:coreProperties>
</file>

<file path=docProps/custom.xml><?xml version="1.0" encoding="utf-8"?>
<Properties xmlns="http://schemas.openxmlformats.org/officeDocument/2006/custom-properties" xmlns:vt="http://schemas.openxmlformats.org/officeDocument/2006/docPropsVTypes"/>
</file>