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707" w:rsidRDefault="0007390D">
      <w:pPr>
        <w:pBdr>
          <w:top w:val="single" w:sz="12" w:space="6" w:color="2A9D8F"/>
          <w:left w:val="single" w:sz="12" w:space="6" w:color="2A9D8F"/>
          <w:bottom w:val="single" w:sz="12" w:space="6" w:color="2A9D8F"/>
          <w:right w:val="single" w:sz="12" w:space="6" w:color="2A9D8F"/>
        </w:pBdr>
        <w:shd w:val="clear" w:color="auto" w:fill="EAF6F4"/>
        <w:spacing w:after="240" w:line="276" w:lineRule="auto"/>
      </w:pPr>
      <w:r>
        <w:rPr>
          <w:b/>
          <w:bCs/>
          <w:color w:val="1F3A5F"/>
          <w:sz w:val="22"/>
          <w:szCs w:val="22"/>
        </w:rPr>
        <w:t>ILL</w:t>
      </w:r>
      <w:bookmarkStart w:id="0" w:name="_GoBack"/>
      <w:bookmarkEnd w:id="0"/>
      <w:r>
        <w:rPr>
          <w:b/>
          <w:bCs/>
          <w:color w:val="1F3A5F"/>
          <w:sz w:val="22"/>
          <w:szCs w:val="22"/>
        </w:rPr>
        <w:t>USTRATIVE EXAMPLE ONLY. This concept map is an example created by Gradevia for illustration purposes only. It is not to be submitted for grading. It deliberately uses eight different medications from the eight assigned in NURS 6630 Week 2, so you must c</w:t>
      </w:r>
      <w:r>
        <w:rPr>
          <w:b/>
          <w:bCs/>
          <w:color w:val="1F3A5F"/>
          <w:sz w:val="22"/>
          <w:szCs w:val="22"/>
        </w:rPr>
        <w:t>omplete your own research and concept map. Need help or assistance with your Psychopharmacology Scavenger Hunt Concept Map? Contact us on WhatsApp: +1 564-544-6924.</w:t>
      </w:r>
    </w:p>
    <w:p w:rsidR="00552707" w:rsidRDefault="00552707">
      <w:pPr>
        <w:spacing w:line="480" w:lineRule="auto"/>
      </w:pPr>
    </w:p>
    <w:p w:rsidR="00552707" w:rsidRDefault="00552707">
      <w:pPr>
        <w:spacing w:line="480" w:lineRule="auto"/>
      </w:pPr>
    </w:p>
    <w:p w:rsidR="00552707" w:rsidRDefault="0007390D">
      <w:pPr>
        <w:spacing w:line="480" w:lineRule="auto"/>
        <w:jc w:val="center"/>
      </w:pPr>
      <w:r>
        <w:rPr>
          <w:b/>
          <w:bCs/>
          <w:sz w:val="24"/>
          <w:szCs w:val="24"/>
        </w:rPr>
        <w:t>Psychopharmacology Scavenger Hunt Concept Map: The Agonist Spectrum</w:t>
      </w:r>
    </w:p>
    <w:p w:rsidR="00552707" w:rsidRDefault="00552707">
      <w:pPr>
        <w:spacing w:line="480" w:lineRule="auto"/>
      </w:pPr>
    </w:p>
    <w:p w:rsidR="00552707" w:rsidRDefault="0007390D">
      <w:pPr>
        <w:spacing w:line="480" w:lineRule="auto"/>
        <w:jc w:val="center"/>
      </w:pPr>
      <w:r>
        <w:rPr>
          <w:sz w:val="24"/>
          <w:szCs w:val="24"/>
        </w:rPr>
        <w:t>Morgan Ellis</w:t>
      </w:r>
    </w:p>
    <w:p w:rsidR="00552707" w:rsidRDefault="0007390D">
      <w:pPr>
        <w:spacing w:line="480" w:lineRule="auto"/>
        <w:jc w:val="center"/>
      </w:pPr>
      <w:r>
        <w:rPr>
          <w:sz w:val="24"/>
          <w:szCs w:val="24"/>
        </w:rPr>
        <w:t>College</w:t>
      </w:r>
      <w:r>
        <w:rPr>
          <w:sz w:val="24"/>
          <w:szCs w:val="24"/>
        </w:rPr>
        <w:t xml:space="preserve"> of Nursing, Walden University</w:t>
      </w:r>
    </w:p>
    <w:p w:rsidR="00552707" w:rsidRDefault="0007390D">
      <w:pPr>
        <w:spacing w:line="480" w:lineRule="auto"/>
        <w:jc w:val="center"/>
      </w:pPr>
      <w:r>
        <w:rPr>
          <w:sz w:val="24"/>
          <w:szCs w:val="24"/>
        </w:rPr>
        <w:t>NURS 6630: Psychopharmacologic Approaches to Treatment of Psychopathology</w:t>
      </w:r>
    </w:p>
    <w:p w:rsidR="00552707" w:rsidRDefault="0007390D">
      <w:pPr>
        <w:spacing w:line="480" w:lineRule="auto"/>
        <w:jc w:val="center"/>
      </w:pPr>
      <w:r>
        <w:rPr>
          <w:sz w:val="24"/>
          <w:szCs w:val="24"/>
        </w:rPr>
        <w:t>Dr. Renee Callahan</w:t>
      </w:r>
    </w:p>
    <w:p w:rsidR="00552707" w:rsidRDefault="0007390D">
      <w:pPr>
        <w:spacing w:line="480" w:lineRule="auto"/>
        <w:jc w:val="center"/>
      </w:pPr>
      <w:r>
        <w:rPr>
          <w:sz w:val="24"/>
          <w:szCs w:val="24"/>
        </w:rPr>
        <w:t>September 26, 2026</w:t>
      </w:r>
    </w:p>
    <w:p w:rsidR="00552707" w:rsidRDefault="00552707">
      <w:pPr>
        <w:sectPr w:rsidR="00552707">
          <w:headerReference w:type="default" r:id="rId7"/>
          <w:footerReference w:type="default" r:id="rId8"/>
          <w:pgSz w:w="12240" w:h="15840"/>
          <w:pgMar w:top="1440" w:right="1440" w:bottom="1440" w:left="1440" w:header="708" w:footer="708" w:gutter="0"/>
          <w:cols w:space="720"/>
          <w:docGrid w:linePitch="360"/>
        </w:sectPr>
      </w:pPr>
    </w:p>
    <w:p w:rsidR="00552707" w:rsidRDefault="0007390D">
      <w:pPr>
        <w:spacing w:after="80"/>
        <w:jc w:val="center"/>
      </w:pPr>
      <w:r>
        <w:rPr>
          <w:b/>
          <w:bCs/>
          <w:sz w:val="24"/>
          <w:szCs w:val="24"/>
        </w:rPr>
        <w:lastRenderedPageBreak/>
        <w:t>Figure 1</w:t>
      </w:r>
    </w:p>
    <w:p w:rsidR="00552707" w:rsidRDefault="0007390D">
      <w:pPr>
        <w:spacing w:after="120"/>
        <w:jc w:val="center"/>
      </w:pPr>
      <w:r>
        <w:rPr>
          <w:i/>
          <w:iCs/>
          <w:sz w:val="24"/>
          <w:szCs w:val="24"/>
        </w:rPr>
        <w:t>Concept Map of the Agonist Spectrum and the CYP450 Enzyme System</w:t>
      </w:r>
    </w:p>
    <w:p w:rsidR="00552707" w:rsidRDefault="0007390D">
      <w:pPr>
        <w:jc w:val="center"/>
      </w:pPr>
      <w:r>
        <w:rPr>
          <w:noProof/>
        </w:rPr>
        <w:drawing>
          <wp:inline distT="0" distB="0" distL="0" distR="0">
            <wp:extent cx="8572500" cy="5400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8572500" cy="5400675"/>
                    </a:xfrm>
                    <a:prstGeom prst="rect">
                      <a:avLst/>
                    </a:prstGeom>
                  </pic:spPr>
                </pic:pic>
              </a:graphicData>
            </a:graphic>
          </wp:inline>
        </w:drawing>
      </w:r>
    </w:p>
    <w:p w:rsidR="00552707" w:rsidRDefault="0007390D">
      <w:pPr>
        <w:spacing w:before="80"/>
      </w:pPr>
      <w:r>
        <w:rPr>
          <w:i/>
          <w:iCs/>
        </w:rPr>
        <w:t xml:space="preserve">Note. </w:t>
      </w:r>
      <w:r>
        <w:t>Illustrative medications only. They are not the medications assigned in NURS 6630 Week 2.</w:t>
      </w:r>
    </w:p>
    <w:p w:rsidR="00552707" w:rsidRDefault="00552707">
      <w:pPr>
        <w:sectPr w:rsidR="00552707">
          <w:headerReference w:type="default" r:id="rId10"/>
          <w:footerReference w:type="default" r:id="rId11"/>
          <w:pgSz w:w="15840" w:h="12240" w:orient="landscape"/>
          <w:pgMar w:top="720" w:right="720" w:bottom="720" w:left="720" w:header="708" w:footer="708" w:gutter="0"/>
          <w:cols w:space="720"/>
          <w:docGrid w:linePitch="360"/>
        </w:sectPr>
      </w:pPr>
    </w:p>
    <w:p w:rsidR="00552707" w:rsidRDefault="0007390D">
      <w:pPr>
        <w:spacing w:after="120"/>
        <w:jc w:val="center"/>
      </w:pPr>
      <w:r>
        <w:rPr>
          <w:b/>
          <w:bCs/>
          <w:sz w:val="24"/>
          <w:szCs w:val="24"/>
        </w:rPr>
        <w:lastRenderedPageBreak/>
        <w:t>Concept Map Node Details</w:t>
      </w:r>
    </w:p>
    <w:p w:rsidR="00552707" w:rsidRDefault="0007390D">
      <w:pPr>
        <w:spacing w:after="120"/>
      </w:pPr>
      <w:r>
        <w:rPr>
          <w:sz w:val="22"/>
          <w:szCs w:val="22"/>
        </w:rPr>
        <w:t>The tables below expand each node of Figure 1 in concise, concept-map form rather than paragraphs.</w:t>
      </w:r>
    </w:p>
    <w:p w:rsidR="00552707" w:rsidRDefault="0007390D">
      <w:pPr>
        <w:keepNext/>
        <w:spacing w:before="240"/>
      </w:pPr>
      <w:r>
        <w:rPr>
          <w:b/>
          <w:bCs/>
          <w:sz w:val="24"/>
          <w:szCs w:val="24"/>
        </w:rPr>
        <w:t>Table 1</w:t>
      </w:r>
    </w:p>
    <w:p w:rsidR="00552707" w:rsidRDefault="0007390D">
      <w:pPr>
        <w:keepNext/>
        <w:spacing w:after="80"/>
      </w:pPr>
      <w:r>
        <w:rPr>
          <w:i/>
          <w:iCs/>
          <w:sz w:val="24"/>
          <w:szCs w:val="24"/>
        </w:rPr>
        <w:t>Characteristics, Mechanisms, and Receptor Targets Across the Agonist Spectrum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700"/>
        <w:gridCol w:w="2700"/>
        <w:gridCol w:w="2260"/>
      </w:tblGrid>
      <w:tr w:rsidR="00552707">
        <w:tblPrEx>
          <w:tblCellMar>
            <w:top w:w="0" w:type="dxa"/>
            <w:bottom w:w="0" w:type="dxa"/>
          </w:tblCellMar>
        </w:tblPrEx>
        <w:trPr>
          <w:tblHeader/>
        </w:trPr>
        <w:tc>
          <w:tcPr>
            <w:tcW w:w="1700" w:type="dxa"/>
            <w:tcBorders>
              <w:top w:val="single" w:sz="6" w:space="0" w:color="000000"/>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rPr>
                <w:b/>
                <w:bCs/>
              </w:rPr>
              <w:t>Spectrum position</w:t>
            </w:r>
          </w:p>
        </w:tc>
        <w:tc>
          <w:tcPr>
            <w:tcW w:w="2700" w:type="dxa"/>
            <w:tcBorders>
              <w:top w:val="single" w:sz="6" w:space="0" w:color="000000"/>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rPr>
                <w:b/>
                <w:bCs/>
              </w:rPr>
              <w:t>Characteristics and intrinsic activity</w:t>
            </w:r>
          </w:p>
        </w:tc>
        <w:tc>
          <w:tcPr>
            <w:tcW w:w="2700" w:type="dxa"/>
            <w:tcBorders>
              <w:top w:val="single" w:sz="6" w:space="0" w:color="000000"/>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rPr>
                <w:b/>
                <w:bCs/>
              </w:rPr>
              <w:t>Proposed mechanism</w:t>
            </w:r>
          </w:p>
        </w:tc>
        <w:tc>
          <w:tcPr>
            <w:tcW w:w="2260" w:type="dxa"/>
            <w:tcBorders>
              <w:top w:val="single" w:sz="6" w:space="0" w:color="000000"/>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rPr>
                <w:b/>
                <w:bCs/>
              </w:rPr>
              <w:t>Receptor targeted (illustrative)</w:t>
            </w:r>
          </w:p>
        </w:tc>
      </w:tr>
      <w:tr w:rsidR="00552707">
        <w:tblPrEx>
          <w:tblCellMar>
            <w:top w:w="0" w:type="dxa"/>
            <w:bottom w:w="0" w:type="dxa"/>
          </w:tblCellMar>
        </w:tblPrEx>
        <w:trPr>
          <w:cantSplit/>
        </w:trPr>
        <w:tc>
          <w:tcPr>
            <w:tcW w:w="17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rPr>
                <w:b/>
                <w:bCs/>
              </w:rPr>
              <w:t>Full agonist</w:t>
            </w:r>
          </w:p>
        </w:tc>
        <w:tc>
          <w:tcPr>
            <w:tcW w:w="27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Binds and fully activates the receptor; intrinsic activity of 1 (Stahl, 2021).</w:t>
            </w:r>
          </w:p>
        </w:tc>
        <w:tc>
          <w:tcPr>
            <w:tcW w:w="27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Stabilizes the active receptor conformation, producing a maximal downstream signal.</w:t>
            </w:r>
          </w:p>
        </w:tc>
        <w:tc>
          <w:tcPr>
            <w:tcW w:w="226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Mu-opioid receptor; dopamine D2/D3</w:t>
            </w:r>
          </w:p>
        </w:tc>
      </w:tr>
      <w:tr w:rsidR="00552707">
        <w:tblPrEx>
          <w:tblCellMar>
            <w:top w:w="0" w:type="dxa"/>
            <w:bottom w:w="0" w:type="dxa"/>
          </w:tblCellMar>
        </w:tblPrEx>
        <w:trPr>
          <w:cantSplit/>
        </w:trPr>
        <w:tc>
          <w:tcPr>
            <w:tcW w:w="17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rPr>
                <w:b/>
                <w:bCs/>
              </w:rPr>
              <w:t>Partial agonist</w:t>
            </w:r>
          </w:p>
        </w:tc>
        <w:tc>
          <w:tcPr>
            <w:tcW w:w="27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Activates the receptor submaximally even at full occupancy; intrinsic activity between 0 and 1 (Stahl, 2021).</w:t>
            </w:r>
          </w:p>
        </w:tc>
        <w:tc>
          <w:tcPr>
            <w:tcW w:w="27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Net agonist when natural tone is low and net antagonist when a full agonist is present, stabilizing signaling.</w:t>
            </w:r>
          </w:p>
        </w:tc>
        <w:tc>
          <w:tcPr>
            <w:tcW w:w="226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Mu-opioid; dopamine D2/D3; serotoni</w:t>
            </w:r>
            <w:r>
              <w:t>n 5-HT1A</w:t>
            </w:r>
          </w:p>
        </w:tc>
      </w:tr>
      <w:tr w:rsidR="00552707">
        <w:tblPrEx>
          <w:tblCellMar>
            <w:top w:w="0" w:type="dxa"/>
            <w:bottom w:w="0" w:type="dxa"/>
          </w:tblCellMar>
        </w:tblPrEx>
        <w:trPr>
          <w:cantSplit/>
        </w:trPr>
        <w:tc>
          <w:tcPr>
            <w:tcW w:w="17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rPr>
                <w:b/>
                <w:bCs/>
              </w:rPr>
              <w:t>Antagonist</w:t>
            </w:r>
          </w:p>
        </w:tc>
        <w:tc>
          <w:tcPr>
            <w:tcW w:w="27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Binds without activating; intrinsic activity of 0 (Stahl, 2021).</w:t>
            </w:r>
          </w:p>
        </w:tc>
        <w:tc>
          <w:tcPr>
            <w:tcW w:w="27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Occupies the binding site and blocks agonists and inverse agonists (competitive antagonism).</w:t>
            </w:r>
          </w:p>
        </w:tc>
        <w:tc>
          <w:tcPr>
            <w:tcW w:w="226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Mu- and kappa-opioid; dopamine D2; serotonin 5-HT2A</w:t>
            </w:r>
          </w:p>
        </w:tc>
      </w:tr>
      <w:tr w:rsidR="00552707">
        <w:tblPrEx>
          <w:tblCellMar>
            <w:top w:w="0" w:type="dxa"/>
            <w:bottom w:w="0" w:type="dxa"/>
          </w:tblCellMar>
        </w:tblPrEx>
        <w:trPr>
          <w:cantSplit/>
        </w:trPr>
        <w:tc>
          <w:tcPr>
            <w:tcW w:w="1700" w:type="dxa"/>
            <w:tcBorders>
              <w:top w:val="none" w:sz="0" w:space="0" w:color="FFFFFF"/>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rPr>
                <w:b/>
                <w:bCs/>
              </w:rPr>
              <w:t>Inverse agonist</w:t>
            </w:r>
          </w:p>
        </w:tc>
        <w:tc>
          <w:tcPr>
            <w:tcW w:w="2700" w:type="dxa"/>
            <w:tcBorders>
              <w:top w:val="none" w:sz="0" w:space="0" w:color="FFFFFF"/>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t xml:space="preserve">Binds a </w:t>
            </w:r>
            <w:r>
              <w:t>constitutively active receptor and lowers activity below baseline; negative intrinsic activity (Berg &amp; Clarke, 2018).</w:t>
            </w:r>
          </w:p>
        </w:tc>
        <w:tc>
          <w:tcPr>
            <w:tcW w:w="2700" w:type="dxa"/>
            <w:tcBorders>
              <w:top w:val="none" w:sz="0" w:space="0" w:color="FFFFFF"/>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t>Stabilizes the inactive receptor state, producing effects opposite to an agonist.</w:t>
            </w:r>
          </w:p>
        </w:tc>
        <w:tc>
          <w:tcPr>
            <w:tcW w:w="2260" w:type="dxa"/>
            <w:tcBorders>
              <w:top w:val="none" w:sz="0" w:space="0" w:color="FFFFFF"/>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t>Histamine H1</w:t>
            </w:r>
          </w:p>
        </w:tc>
      </w:tr>
    </w:tbl>
    <w:p w:rsidR="00552707" w:rsidRDefault="0007390D">
      <w:pPr>
        <w:keepNext/>
        <w:spacing w:before="240"/>
      </w:pPr>
      <w:r>
        <w:rPr>
          <w:b/>
          <w:bCs/>
          <w:sz w:val="24"/>
          <w:szCs w:val="24"/>
        </w:rPr>
        <w:t>Table 2</w:t>
      </w:r>
    </w:p>
    <w:p w:rsidR="00552707" w:rsidRDefault="0007390D">
      <w:pPr>
        <w:keepNext/>
        <w:spacing w:after="80"/>
      </w:pPr>
      <w:r>
        <w:rPr>
          <w:i/>
          <w:iCs/>
          <w:sz w:val="24"/>
          <w:szCs w:val="24"/>
        </w:rPr>
        <w:t>Illustrative Medications Applied to the Agonist Spectrum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700"/>
        <w:gridCol w:w="3000"/>
        <w:gridCol w:w="2860"/>
      </w:tblGrid>
      <w:tr w:rsidR="00552707">
        <w:tblPrEx>
          <w:tblCellMar>
            <w:top w:w="0" w:type="dxa"/>
            <w:bottom w:w="0" w:type="dxa"/>
          </w:tblCellMar>
        </w:tblPrEx>
        <w:trPr>
          <w:tblHeader/>
        </w:trPr>
        <w:tc>
          <w:tcPr>
            <w:tcW w:w="1800" w:type="dxa"/>
            <w:tcBorders>
              <w:top w:val="single" w:sz="6" w:space="0" w:color="000000"/>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rPr>
                <w:b/>
                <w:bCs/>
              </w:rPr>
              <w:t>Medication</w:t>
            </w:r>
          </w:p>
        </w:tc>
        <w:tc>
          <w:tcPr>
            <w:tcW w:w="1700" w:type="dxa"/>
            <w:tcBorders>
              <w:top w:val="single" w:sz="6" w:space="0" w:color="000000"/>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rPr>
                <w:b/>
                <w:bCs/>
              </w:rPr>
              <w:t>Spectrum position</w:t>
            </w:r>
          </w:p>
        </w:tc>
        <w:tc>
          <w:tcPr>
            <w:tcW w:w="3000" w:type="dxa"/>
            <w:tcBorders>
              <w:top w:val="single" w:sz="6" w:space="0" w:color="000000"/>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rPr>
                <w:b/>
                <w:bCs/>
              </w:rPr>
              <w:t>Receptor and action</w:t>
            </w:r>
          </w:p>
        </w:tc>
        <w:tc>
          <w:tcPr>
            <w:tcW w:w="2860" w:type="dxa"/>
            <w:tcBorders>
              <w:top w:val="single" w:sz="6" w:space="0" w:color="000000"/>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rPr>
                <w:b/>
                <w:bCs/>
              </w:rPr>
              <w:t>Clinical relevance</w:t>
            </w:r>
          </w:p>
        </w:tc>
      </w:tr>
      <w:tr w:rsidR="00552707">
        <w:tblPrEx>
          <w:tblCellMar>
            <w:top w:w="0" w:type="dxa"/>
            <w:bottom w:w="0" w:type="dxa"/>
          </w:tblCellMar>
        </w:tblPrEx>
        <w:trPr>
          <w:cantSplit/>
        </w:trPr>
        <w:tc>
          <w:tcPr>
            <w:tcW w:w="18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rPr>
                <w:b/>
                <w:bCs/>
              </w:rPr>
              <w:t>Morphine</w:t>
            </w:r>
          </w:p>
        </w:tc>
        <w:tc>
          <w:tcPr>
            <w:tcW w:w="17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Full agonist</w:t>
            </w:r>
          </w:p>
        </w:tc>
        <w:tc>
          <w:tcPr>
            <w:tcW w:w="3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Full agonist at the mu-opioid receptor</w:t>
            </w:r>
          </w:p>
        </w:tc>
        <w:tc>
          <w:tcPr>
            <w:tcW w:w="286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Analgesia; risk of respiratory depression and dependence</w:t>
            </w:r>
          </w:p>
        </w:tc>
      </w:tr>
      <w:tr w:rsidR="00552707">
        <w:tblPrEx>
          <w:tblCellMar>
            <w:top w:w="0" w:type="dxa"/>
            <w:bottom w:w="0" w:type="dxa"/>
          </w:tblCellMar>
        </w:tblPrEx>
        <w:trPr>
          <w:cantSplit/>
        </w:trPr>
        <w:tc>
          <w:tcPr>
            <w:tcW w:w="18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rPr>
                <w:b/>
                <w:bCs/>
              </w:rPr>
              <w:t>Pramipexole</w:t>
            </w:r>
          </w:p>
        </w:tc>
        <w:tc>
          <w:tcPr>
            <w:tcW w:w="17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Full agonist</w:t>
            </w:r>
          </w:p>
        </w:tc>
        <w:tc>
          <w:tcPr>
            <w:tcW w:w="3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Agonist at dopamine D2/D3 receptors</w:t>
            </w:r>
          </w:p>
        </w:tc>
        <w:tc>
          <w:tcPr>
            <w:tcW w:w="286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Parkinson's disease and restless legs syndrome</w:t>
            </w:r>
          </w:p>
        </w:tc>
      </w:tr>
      <w:tr w:rsidR="00552707">
        <w:tblPrEx>
          <w:tblCellMar>
            <w:top w:w="0" w:type="dxa"/>
            <w:bottom w:w="0" w:type="dxa"/>
          </w:tblCellMar>
        </w:tblPrEx>
        <w:trPr>
          <w:cantSplit/>
        </w:trPr>
        <w:tc>
          <w:tcPr>
            <w:tcW w:w="18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rPr>
                <w:b/>
                <w:bCs/>
              </w:rPr>
              <w:t>Buprenorphine</w:t>
            </w:r>
          </w:p>
        </w:tc>
        <w:tc>
          <w:tcPr>
            <w:tcW w:w="17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Partial agonist</w:t>
            </w:r>
          </w:p>
        </w:tc>
        <w:tc>
          <w:tcPr>
            <w:tcW w:w="3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High-affinity mu-opioid partial agonist</w:t>
            </w:r>
          </w:p>
        </w:tc>
        <w:tc>
          <w:tcPr>
            <w:tcW w:w="286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Opioid use disorder; ceiling on respiratory depression</w:t>
            </w:r>
          </w:p>
        </w:tc>
      </w:tr>
      <w:tr w:rsidR="00552707">
        <w:tblPrEx>
          <w:tblCellMar>
            <w:top w:w="0" w:type="dxa"/>
            <w:bottom w:w="0" w:type="dxa"/>
          </w:tblCellMar>
        </w:tblPrEx>
        <w:trPr>
          <w:cantSplit/>
        </w:trPr>
        <w:tc>
          <w:tcPr>
            <w:tcW w:w="18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rPr>
                <w:b/>
                <w:bCs/>
              </w:rPr>
              <w:t>Cariprazine</w:t>
            </w:r>
          </w:p>
        </w:tc>
        <w:tc>
          <w:tcPr>
            <w:tcW w:w="17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Partial agonist</w:t>
            </w:r>
          </w:p>
        </w:tc>
        <w:tc>
          <w:tcPr>
            <w:tcW w:w="3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D2/D3 partial agonist; 5-HT1A partial agonist</w:t>
            </w:r>
          </w:p>
        </w:tc>
        <w:tc>
          <w:tcPr>
            <w:tcW w:w="286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Schizophrenia and bipolar disorder</w:t>
            </w:r>
          </w:p>
        </w:tc>
      </w:tr>
      <w:tr w:rsidR="00552707">
        <w:tblPrEx>
          <w:tblCellMar>
            <w:top w:w="0" w:type="dxa"/>
            <w:bottom w:w="0" w:type="dxa"/>
          </w:tblCellMar>
        </w:tblPrEx>
        <w:trPr>
          <w:cantSplit/>
        </w:trPr>
        <w:tc>
          <w:tcPr>
            <w:tcW w:w="18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rPr>
                <w:b/>
                <w:bCs/>
              </w:rPr>
              <w:t>Naltrexone</w:t>
            </w:r>
          </w:p>
        </w:tc>
        <w:tc>
          <w:tcPr>
            <w:tcW w:w="17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Antagonist</w:t>
            </w:r>
          </w:p>
        </w:tc>
        <w:tc>
          <w:tcPr>
            <w:tcW w:w="3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Mu- and kappa-opioid receptor antagonist</w:t>
            </w:r>
          </w:p>
        </w:tc>
        <w:tc>
          <w:tcPr>
            <w:tcW w:w="286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Alcohol and opioid use disorder</w:t>
            </w:r>
          </w:p>
        </w:tc>
      </w:tr>
      <w:tr w:rsidR="00552707">
        <w:tblPrEx>
          <w:tblCellMar>
            <w:top w:w="0" w:type="dxa"/>
            <w:bottom w:w="0" w:type="dxa"/>
          </w:tblCellMar>
        </w:tblPrEx>
        <w:trPr>
          <w:cantSplit/>
        </w:trPr>
        <w:tc>
          <w:tcPr>
            <w:tcW w:w="18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rPr>
                <w:b/>
                <w:bCs/>
              </w:rPr>
              <w:t>Olanzapine</w:t>
            </w:r>
          </w:p>
        </w:tc>
        <w:tc>
          <w:tcPr>
            <w:tcW w:w="17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Antagonist</w:t>
            </w:r>
          </w:p>
        </w:tc>
        <w:tc>
          <w:tcPr>
            <w:tcW w:w="3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D2 and 5-HT2A receptor antagonist</w:t>
            </w:r>
          </w:p>
        </w:tc>
        <w:tc>
          <w:tcPr>
            <w:tcW w:w="286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Schizophrenia and bipolar disorder</w:t>
            </w:r>
          </w:p>
        </w:tc>
      </w:tr>
      <w:tr w:rsidR="00552707">
        <w:tblPrEx>
          <w:tblCellMar>
            <w:top w:w="0" w:type="dxa"/>
            <w:bottom w:w="0" w:type="dxa"/>
          </w:tblCellMar>
        </w:tblPrEx>
        <w:trPr>
          <w:cantSplit/>
        </w:trPr>
        <w:tc>
          <w:tcPr>
            <w:tcW w:w="18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rPr>
                <w:b/>
                <w:bCs/>
              </w:rPr>
              <w:t>Diphenhydramine</w:t>
            </w:r>
          </w:p>
        </w:tc>
        <w:tc>
          <w:tcPr>
            <w:tcW w:w="17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Inverse agonist</w:t>
            </w:r>
          </w:p>
        </w:tc>
        <w:tc>
          <w:tcPr>
            <w:tcW w:w="3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H1 receptor inverse agonist</w:t>
            </w:r>
          </w:p>
        </w:tc>
        <w:tc>
          <w:tcPr>
            <w:tcW w:w="286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Sedation, allergy symptoms; anticholinergic burden</w:t>
            </w:r>
          </w:p>
        </w:tc>
      </w:tr>
      <w:tr w:rsidR="00552707">
        <w:tblPrEx>
          <w:tblCellMar>
            <w:top w:w="0" w:type="dxa"/>
            <w:bottom w:w="0" w:type="dxa"/>
          </w:tblCellMar>
        </w:tblPrEx>
        <w:trPr>
          <w:cantSplit/>
        </w:trPr>
        <w:tc>
          <w:tcPr>
            <w:tcW w:w="1800" w:type="dxa"/>
            <w:tcBorders>
              <w:top w:val="none" w:sz="0" w:space="0" w:color="FFFFFF"/>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rPr>
                <w:b/>
                <w:bCs/>
              </w:rPr>
              <w:t>Hydroxyzine</w:t>
            </w:r>
          </w:p>
        </w:tc>
        <w:tc>
          <w:tcPr>
            <w:tcW w:w="1700" w:type="dxa"/>
            <w:tcBorders>
              <w:top w:val="none" w:sz="0" w:space="0" w:color="FFFFFF"/>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t>Inverse agonist</w:t>
            </w:r>
          </w:p>
        </w:tc>
        <w:tc>
          <w:tcPr>
            <w:tcW w:w="3000" w:type="dxa"/>
            <w:tcBorders>
              <w:top w:val="none" w:sz="0" w:space="0" w:color="FFFFFF"/>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t>H1 receptor inverse agonist</w:t>
            </w:r>
          </w:p>
        </w:tc>
        <w:tc>
          <w:tcPr>
            <w:tcW w:w="2860" w:type="dxa"/>
            <w:tcBorders>
              <w:top w:val="none" w:sz="0" w:space="0" w:color="FFFFFF"/>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t>Anxiety and pruritus</w:t>
            </w:r>
          </w:p>
        </w:tc>
      </w:tr>
    </w:tbl>
    <w:p w:rsidR="00552707" w:rsidRDefault="0007390D">
      <w:pPr>
        <w:spacing w:before="60"/>
      </w:pPr>
      <w:r>
        <w:rPr>
          <w:i/>
          <w:iCs/>
        </w:rPr>
        <w:t xml:space="preserve">Note. </w:t>
      </w:r>
      <w:r>
        <w:t>Receptor actions summarized from Stahl (2021) and Berg and Clarke (2018). These are illustrative medications, not the ones assigned in NURS 6630 Week 2.</w:t>
      </w:r>
    </w:p>
    <w:p w:rsidR="00552707" w:rsidRDefault="0007390D">
      <w:pPr>
        <w:keepNext/>
        <w:spacing w:before="240"/>
      </w:pPr>
      <w:r>
        <w:rPr>
          <w:b/>
          <w:bCs/>
          <w:sz w:val="24"/>
          <w:szCs w:val="24"/>
        </w:rPr>
        <w:lastRenderedPageBreak/>
        <w:t>Table 3</w:t>
      </w:r>
    </w:p>
    <w:p w:rsidR="00552707" w:rsidRDefault="0007390D">
      <w:pPr>
        <w:keepNext/>
        <w:spacing w:after="80"/>
      </w:pPr>
      <w:r>
        <w:rPr>
          <w:i/>
          <w:iCs/>
          <w:sz w:val="24"/>
          <w:szCs w:val="24"/>
        </w:rPr>
        <w:t>Role of the CYP450 Enzyme System in Absorption, Distribution, and Clearance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4060"/>
        <w:gridCol w:w="3300"/>
      </w:tblGrid>
      <w:tr w:rsidR="00552707">
        <w:tblPrEx>
          <w:tblCellMar>
            <w:top w:w="0" w:type="dxa"/>
            <w:bottom w:w="0" w:type="dxa"/>
          </w:tblCellMar>
        </w:tblPrEx>
        <w:trPr>
          <w:tblHeader/>
        </w:trPr>
        <w:tc>
          <w:tcPr>
            <w:tcW w:w="2000" w:type="dxa"/>
            <w:tcBorders>
              <w:top w:val="single" w:sz="6" w:space="0" w:color="000000"/>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rPr>
                <w:b/>
                <w:bCs/>
              </w:rPr>
              <w:t>Pharmacokinetic pha</w:t>
            </w:r>
            <w:r>
              <w:rPr>
                <w:b/>
                <w:bCs/>
              </w:rPr>
              <w:t>se</w:t>
            </w:r>
          </w:p>
        </w:tc>
        <w:tc>
          <w:tcPr>
            <w:tcW w:w="4060" w:type="dxa"/>
            <w:tcBorders>
              <w:top w:val="single" w:sz="6" w:space="0" w:color="000000"/>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rPr>
                <w:b/>
                <w:bCs/>
              </w:rPr>
              <w:t>Role of CYP450</w:t>
            </w:r>
          </w:p>
        </w:tc>
        <w:tc>
          <w:tcPr>
            <w:tcW w:w="3300" w:type="dxa"/>
            <w:tcBorders>
              <w:top w:val="single" w:sz="6" w:space="0" w:color="000000"/>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rPr>
                <w:b/>
                <w:bCs/>
              </w:rPr>
              <w:t>Illustrative example</w:t>
            </w:r>
          </w:p>
        </w:tc>
      </w:tr>
      <w:tr w:rsidR="00552707">
        <w:tblPrEx>
          <w:tblCellMar>
            <w:top w:w="0" w:type="dxa"/>
            <w:bottom w:w="0" w:type="dxa"/>
          </w:tblCellMar>
        </w:tblPrEx>
        <w:trPr>
          <w:cantSplit/>
        </w:trPr>
        <w:tc>
          <w:tcPr>
            <w:tcW w:w="2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rPr>
                <w:b/>
                <w:bCs/>
              </w:rPr>
              <w:t>Absorption</w:t>
            </w:r>
          </w:p>
        </w:tc>
        <w:tc>
          <w:tcPr>
            <w:tcW w:w="406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Gut-wall and hepatic CYP3A4 metabolize drugs before they reach systemic circulation (first-pass effect), lowering oral bioavailability (Zhao et al., 2021).</w:t>
            </w:r>
          </w:p>
        </w:tc>
        <w:tc>
          <w:tcPr>
            <w:tcW w:w="33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Buprenorphine undergoes extensive first-pass metabolism, so it is given sublingually.</w:t>
            </w:r>
          </w:p>
        </w:tc>
      </w:tr>
      <w:tr w:rsidR="00552707">
        <w:tblPrEx>
          <w:tblCellMar>
            <w:top w:w="0" w:type="dxa"/>
            <w:bottom w:w="0" w:type="dxa"/>
          </w:tblCellMar>
        </w:tblPrEx>
        <w:trPr>
          <w:cantSplit/>
        </w:trPr>
        <w:tc>
          <w:tcPr>
            <w:tcW w:w="2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rPr>
                <w:b/>
                <w:bCs/>
              </w:rPr>
              <w:t>Distribution</w:t>
            </w:r>
          </w:p>
        </w:tc>
        <w:tc>
          <w:tcPr>
            <w:tcW w:w="406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CYP activity determines how much parent drug and active metabolite are available to reach tissues, including the brain; CYPs can also act at local sites (Zhao et al., 2021).</w:t>
            </w:r>
          </w:p>
        </w:tc>
        <w:tc>
          <w:tcPr>
            <w:tcW w:w="33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Cariprazine's long-lived active metabolites extend exposure well beyond the parent</w:t>
            </w:r>
            <w:r>
              <w:t xml:space="preserve"> drug.</w:t>
            </w:r>
          </w:p>
        </w:tc>
      </w:tr>
      <w:tr w:rsidR="00552707">
        <w:tblPrEx>
          <w:tblCellMar>
            <w:top w:w="0" w:type="dxa"/>
            <w:bottom w:w="0" w:type="dxa"/>
          </w:tblCellMar>
        </w:tblPrEx>
        <w:trPr>
          <w:cantSplit/>
        </w:trPr>
        <w:tc>
          <w:tcPr>
            <w:tcW w:w="2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rPr>
                <w:b/>
                <w:bCs/>
              </w:rPr>
              <w:t>Clearance</w:t>
            </w:r>
          </w:p>
        </w:tc>
        <w:tc>
          <w:tcPr>
            <w:tcW w:w="406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CYPs perform phase I oxidative metabolism; families 1 to 3 handle about 80% of oxidative metabolism and roughly half of drug elimination (Zhao et al., 2021).</w:t>
            </w:r>
          </w:p>
        </w:tc>
        <w:tc>
          <w:tcPr>
            <w:tcW w:w="33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Smoking induces CYP1A2 and lowers olanzapine levels.</w:t>
            </w:r>
          </w:p>
        </w:tc>
      </w:tr>
      <w:tr w:rsidR="00552707">
        <w:tblPrEx>
          <w:tblCellMar>
            <w:top w:w="0" w:type="dxa"/>
            <w:bottom w:w="0" w:type="dxa"/>
          </w:tblCellMar>
        </w:tblPrEx>
        <w:trPr>
          <w:cantSplit/>
        </w:trPr>
        <w:tc>
          <w:tcPr>
            <w:tcW w:w="2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rPr>
                <w:b/>
                <w:bCs/>
              </w:rPr>
              <w:t>Interactions and genetics</w:t>
            </w:r>
          </w:p>
        </w:tc>
        <w:tc>
          <w:tcPr>
            <w:tcW w:w="406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Inhibitors raise plasma levels, inducers lower them, and genetic polymorphisms create poor to ultrarapid metabolizers (Zhao et al., 2021).</w:t>
            </w:r>
          </w:p>
        </w:tc>
        <w:tc>
          <w:tcPr>
            <w:tcW w:w="33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rsidR="00552707" w:rsidRDefault="0007390D">
            <w:r>
              <w:t>Diphenhydramine is a CYP2D6 substrate and inhibitor; strong CYP3A4 inhibitors raise cariprazine levels.</w:t>
            </w:r>
          </w:p>
        </w:tc>
      </w:tr>
      <w:tr w:rsidR="00552707">
        <w:tblPrEx>
          <w:tblCellMar>
            <w:top w:w="0" w:type="dxa"/>
            <w:bottom w:w="0" w:type="dxa"/>
          </w:tblCellMar>
        </w:tblPrEx>
        <w:trPr>
          <w:cantSplit/>
        </w:trPr>
        <w:tc>
          <w:tcPr>
            <w:tcW w:w="2000" w:type="dxa"/>
            <w:tcBorders>
              <w:top w:val="none" w:sz="0" w:space="0" w:color="FFFFFF"/>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rPr>
                <w:b/>
                <w:bCs/>
              </w:rPr>
              <w:t>Non-CYP path</w:t>
            </w:r>
            <w:r>
              <w:rPr>
                <w:b/>
                <w:bCs/>
              </w:rPr>
              <w:t>ways</w:t>
            </w:r>
          </w:p>
        </w:tc>
        <w:tc>
          <w:tcPr>
            <w:tcW w:w="4060" w:type="dxa"/>
            <w:tcBorders>
              <w:top w:val="none" w:sz="0" w:space="0" w:color="FFFFFF"/>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t>Not every psychotropic depends on CYP450, which changes interaction risk.</w:t>
            </w:r>
          </w:p>
        </w:tc>
        <w:tc>
          <w:tcPr>
            <w:tcW w:w="3300" w:type="dxa"/>
            <w:tcBorders>
              <w:top w:val="none" w:sz="0" w:space="0" w:color="FFFFFF"/>
              <w:left w:val="none" w:sz="0" w:space="0" w:color="FFFFFF"/>
              <w:bottom w:val="single" w:sz="6" w:space="0" w:color="000000"/>
              <w:right w:val="none" w:sz="0" w:space="0" w:color="FFFFFF"/>
            </w:tcBorders>
            <w:tcMar>
              <w:top w:w="60" w:type="dxa"/>
              <w:left w:w="90" w:type="dxa"/>
              <w:bottom w:w="60" w:type="dxa"/>
              <w:right w:w="90" w:type="dxa"/>
            </w:tcMar>
          </w:tcPr>
          <w:p w:rsidR="00552707" w:rsidRDefault="0007390D">
            <w:r>
              <w:t>Morphine (glucuronidation), naltrexone (dihydrodiol dehydrogenase), pramipexole (renal, largely unchanged).</w:t>
            </w:r>
          </w:p>
        </w:tc>
      </w:tr>
    </w:tbl>
    <w:p w:rsidR="00552707" w:rsidRDefault="0007390D">
      <w:r>
        <w:br w:type="page"/>
      </w:r>
    </w:p>
    <w:p w:rsidR="00552707" w:rsidRDefault="0007390D">
      <w:pPr>
        <w:spacing w:line="480" w:lineRule="auto"/>
        <w:jc w:val="center"/>
      </w:pPr>
      <w:r>
        <w:rPr>
          <w:b/>
          <w:bCs/>
          <w:sz w:val="24"/>
          <w:szCs w:val="24"/>
        </w:rPr>
        <w:lastRenderedPageBreak/>
        <w:t>References</w:t>
      </w:r>
    </w:p>
    <w:p w:rsidR="00552707" w:rsidRDefault="0007390D">
      <w:pPr>
        <w:spacing w:line="480" w:lineRule="auto"/>
        <w:ind w:left="720" w:hanging="720"/>
        <w:rPr>
          <w:sz w:val="24"/>
          <w:szCs w:val="24"/>
        </w:rPr>
      </w:pPr>
      <w:r>
        <w:rPr>
          <w:sz w:val="24"/>
          <w:szCs w:val="24"/>
        </w:rPr>
        <w:t xml:space="preserve">Berg, K. A., &amp; Clarke, W. P. (2018). Making sense of pharmacology: Inverse agonism and functional selectivity. </w:t>
      </w:r>
      <w:r>
        <w:rPr>
          <w:i/>
          <w:iCs/>
          <w:sz w:val="24"/>
          <w:szCs w:val="24"/>
        </w:rPr>
        <w:t>International Journal of Neuropsychopharmacology, 21</w:t>
      </w:r>
      <w:r>
        <w:rPr>
          <w:sz w:val="24"/>
          <w:szCs w:val="24"/>
        </w:rPr>
        <w:t xml:space="preserve">(10), 962–977. </w:t>
      </w:r>
      <w:hyperlink r:id="rId12" w:history="1">
        <w:r w:rsidR="006A55E9" w:rsidRPr="00905307">
          <w:rPr>
            <w:rStyle w:val="Hyperlink"/>
            <w:sz w:val="24"/>
            <w:szCs w:val="24"/>
          </w:rPr>
          <w:t>https://doi.org/10.1093/ijnp/pyy071</w:t>
        </w:r>
      </w:hyperlink>
    </w:p>
    <w:p w:rsidR="00552707" w:rsidRDefault="0007390D">
      <w:pPr>
        <w:spacing w:line="480" w:lineRule="auto"/>
        <w:ind w:left="720" w:hanging="720"/>
      </w:pPr>
      <w:r>
        <w:rPr>
          <w:sz w:val="24"/>
          <w:szCs w:val="24"/>
        </w:rPr>
        <w:t xml:space="preserve">Stahl, S. M. (2021). </w:t>
      </w:r>
      <w:r>
        <w:rPr>
          <w:i/>
          <w:iCs/>
          <w:sz w:val="24"/>
          <w:szCs w:val="24"/>
        </w:rPr>
        <w:t>Stahl's essential psy</w:t>
      </w:r>
      <w:r>
        <w:rPr>
          <w:i/>
          <w:iCs/>
          <w:sz w:val="24"/>
          <w:szCs w:val="24"/>
        </w:rPr>
        <w:t>chopharmacology: Neuroscientific basis and practical applications</w:t>
      </w:r>
      <w:r>
        <w:rPr>
          <w:sz w:val="24"/>
          <w:szCs w:val="24"/>
        </w:rPr>
        <w:t xml:space="preserve"> (5th ed.). Cambridge University Press.</w:t>
      </w:r>
    </w:p>
    <w:p w:rsidR="00552707" w:rsidRDefault="0007390D">
      <w:pPr>
        <w:spacing w:line="480" w:lineRule="auto"/>
        <w:ind w:left="720" w:hanging="720"/>
        <w:rPr>
          <w:sz w:val="24"/>
          <w:szCs w:val="24"/>
        </w:rPr>
      </w:pPr>
      <w:r>
        <w:rPr>
          <w:sz w:val="24"/>
          <w:szCs w:val="24"/>
        </w:rPr>
        <w:t>Zhao, M., Ma, J., Li, M., Zhang, Y., Jiang, B., Zhao, X., Huai, C., Shen, L., Zhang, N., He, L., &amp; Qin, S. (2021). Cytochrome P450 enzymes and drug met</w:t>
      </w:r>
      <w:r>
        <w:rPr>
          <w:sz w:val="24"/>
          <w:szCs w:val="24"/>
        </w:rPr>
        <w:t xml:space="preserve">abolism in humans. </w:t>
      </w:r>
      <w:r>
        <w:rPr>
          <w:i/>
          <w:iCs/>
          <w:sz w:val="24"/>
          <w:szCs w:val="24"/>
        </w:rPr>
        <w:t>International Journal of Molecular Sciences, 22</w:t>
      </w:r>
      <w:r>
        <w:rPr>
          <w:sz w:val="24"/>
          <w:szCs w:val="24"/>
        </w:rPr>
        <w:t xml:space="preserve">(23), 12808. </w:t>
      </w:r>
      <w:hyperlink r:id="rId13" w:history="1">
        <w:r w:rsidR="006A55E9" w:rsidRPr="00905307">
          <w:rPr>
            <w:rStyle w:val="Hyperlink"/>
            <w:sz w:val="24"/>
            <w:szCs w:val="24"/>
          </w:rPr>
          <w:t>https://doi.org/10.3390/ijms222312808</w:t>
        </w:r>
      </w:hyperlink>
    </w:p>
    <w:p w:rsidR="006A55E9" w:rsidRDefault="006A55E9">
      <w:pPr>
        <w:spacing w:line="480" w:lineRule="auto"/>
        <w:ind w:left="720" w:hanging="720"/>
      </w:pPr>
    </w:p>
    <w:p w:rsidR="00552707" w:rsidRDefault="0007390D">
      <w:pPr>
        <w:pBdr>
          <w:top w:val="single" w:sz="12" w:space="6" w:color="2A9D8F"/>
          <w:left w:val="single" w:sz="12" w:space="6" w:color="2A9D8F"/>
          <w:bottom w:val="single" w:sz="12" w:space="6" w:color="2A9D8F"/>
          <w:right w:val="single" w:sz="12" w:space="6" w:color="2A9D8F"/>
        </w:pBdr>
        <w:shd w:val="clear" w:color="auto" w:fill="EAF6F4"/>
        <w:spacing w:before="480" w:after="240" w:line="276" w:lineRule="auto"/>
      </w:pPr>
      <w:r>
        <w:rPr>
          <w:b/>
          <w:bCs/>
          <w:color w:val="1F3A5F"/>
          <w:sz w:val="22"/>
          <w:szCs w:val="22"/>
        </w:rPr>
        <w:t>ILLUSTRATIVE EXAMPLE ONLY. This concept map is an example created by Gradevia for illustration purposes only. It is not to be submitted for</w:t>
      </w:r>
      <w:r>
        <w:rPr>
          <w:b/>
          <w:bCs/>
          <w:color w:val="1F3A5F"/>
          <w:sz w:val="22"/>
          <w:szCs w:val="22"/>
        </w:rPr>
        <w:t xml:space="preserve"> grading. It deliberately uses eight different medications from the eight assigned in NURS 6630 Week 2, so you must complete your own research and concept map. Need help or assistance with your Psychopharmacology Scavenger Hunt Concept Map? Contact us on W</w:t>
      </w:r>
      <w:r>
        <w:rPr>
          <w:b/>
          <w:bCs/>
          <w:color w:val="1F3A5F"/>
          <w:sz w:val="22"/>
          <w:szCs w:val="22"/>
        </w:rPr>
        <w:t>hatsApp: +1 564-544-6924.</w:t>
      </w:r>
    </w:p>
    <w:sectPr w:rsidR="00552707">
      <w:headerReference w:type="default" r:id="rId14"/>
      <w:footerReference w:type="default" r:id="rId1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90D" w:rsidRDefault="0007390D">
      <w:r>
        <w:separator/>
      </w:r>
    </w:p>
  </w:endnote>
  <w:endnote w:type="continuationSeparator" w:id="0">
    <w:p w:rsidR="0007390D" w:rsidRDefault="00073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707" w:rsidRDefault="0007390D">
    <w:pPr>
      <w:jc w:val="center"/>
    </w:pPr>
    <w:r>
      <w:rPr>
        <w:i/>
        <w:iCs/>
        <w:color w:val="555555"/>
        <w:sz w:val="16"/>
        <w:szCs w:val="16"/>
      </w:rPr>
      <w:t>Illustrative example only. Not to be</w:t>
    </w:r>
    <w:r>
      <w:rPr>
        <w:i/>
        <w:iCs/>
        <w:color w:val="555555"/>
        <w:sz w:val="16"/>
        <w:szCs w:val="16"/>
      </w:rPr>
      <w:t xml:space="preserve"> submitted for grading. NURS 6630 help: WhatsApp +1 564-544-6924</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707" w:rsidRDefault="0007390D">
    <w:pPr>
      <w:jc w:val="center"/>
    </w:pPr>
    <w:r>
      <w:rPr>
        <w:i/>
        <w:iCs/>
        <w:color w:val="555555"/>
        <w:sz w:val="16"/>
        <w:szCs w:val="16"/>
      </w:rPr>
      <w:t>Illustrative example only. Not to be submitted for grading. NURS 6630 help: WhatsApp +1 564-544-6924</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707" w:rsidRDefault="0007390D">
    <w:pPr>
      <w:jc w:val="center"/>
    </w:pPr>
    <w:r>
      <w:rPr>
        <w:i/>
        <w:iCs/>
        <w:color w:val="555555"/>
        <w:sz w:val="16"/>
        <w:szCs w:val="16"/>
      </w:rPr>
      <w:t>Illustrative example only. Not to be submitted for grading. NURS 6630 help: WhatsApp +1 564-544-6924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90D" w:rsidRDefault="0007390D">
      <w:r>
        <w:separator/>
      </w:r>
    </w:p>
  </w:footnote>
  <w:footnote w:type="continuationSeparator" w:id="0">
    <w:p w:rsidR="0007390D" w:rsidRDefault="000739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707" w:rsidRDefault="0007390D">
    <w:pPr>
      <w:jc w:val="right"/>
    </w:pPr>
    <w:r>
      <w:rPr>
        <w:sz w:val="24"/>
        <w:szCs w:val="24"/>
      </w:rPr>
      <w:fldChar w:fldCharType="begin"/>
    </w:r>
    <w:r>
      <w:rPr>
        <w:sz w:val="24"/>
        <w:szCs w:val="24"/>
      </w:rPr>
      <w:instrText>PAGE</w:instrText>
    </w:r>
    <w:r w:rsidR="006A55E9">
      <w:rPr>
        <w:sz w:val="24"/>
        <w:szCs w:val="24"/>
      </w:rPr>
      <w:fldChar w:fldCharType="separate"/>
    </w:r>
    <w:r w:rsidR="006A55E9">
      <w:rPr>
        <w:noProof/>
        <w:sz w:val="24"/>
        <w:szCs w:val="24"/>
      </w:rPr>
      <w:t>1</w:t>
    </w:r>
    <w:r>
      <w:rPr>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707" w:rsidRDefault="0007390D">
    <w:pPr>
      <w:jc w:val="right"/>
    </w:pPr>
    <w:r>
      <w:rPr>
        <w:sz w:val="24"/>
        <w:szCs w:val="24"/>
      </w:rPr>
      <w:fldChar w:fldCharType="begin"/>
    </w:r>
    <w:r>
      <w:rPr>
        <w:sz w:val="24"/>
        <w:szCs w:val="24"/>
      </w:rPr>
      <w:instrText>PAGE</w:instrText>
    </w:r>
    <w:r w:rsidR="006A55E9">
      <w:rPr>
        <w:sz w:val="24"/>
        <w:szCs w:val="24"/>
      </w:rPr>
      <w:fldChar w:fldCharType="separate"/>
    </w:r>
    <w:r w:rsidR="006A55E9">
      <w:rPr>
        <w:noProof/>
        <w:sz w:val="24"/>
        <w:szCs w:val="24"/>
      </w:rPr>
      <w:t>2</w:t>
    </w:r>
    <w:r>
      <w:rPr>
        <w:sz w:val="24"/>
        <w:szCs w:val="24"/>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707" w:rsidRDefault="0007390D">
    <w:pPr>
      <w:jc w:val="right"/>
    </w:pPr>
    <w:r>
      <w:rPr>
        <w:sz w:val="24"/>
        <w:szCs w:val="24"/>
      </w:rPr>
      <w:fldChar w:fldCharType="begin"/>
    </w:r>
    <w:r>
      <w:rPr>
        <w:sz w:val="24"/>
        <w:szCs w:val="24"/>
      </w:rPr>
      <w:instrText>PAGE</w:instrText>
    </w:r>
    <w:r w:rsidR="006A55E9">
      <w:rPr>
        <w:sz w:val="24"/>
        <w:szCs w:val="24"/>
      </w:rPr>
      <w:fldChar w:fldCharType="separate"/>
    </w:r>
    <w:r w:rsidR="006A55E9">
      <w:rPr>
        <w:noProof/>
        <w:sz w:val="24"/>
        <w:szCs w:val="24"/>
      </w:rPr>
      <w:t>3</w:t>
    </w:r>
    <w:r>
      <w:rPr>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F2203D"/>
    <w:multiLevelType w:val="hybridMultilevel"/>
    <w:tmpl w:val="E970F48A"/>
    <w:lvl w:ilvl="0" w:tplc="DBEEE9BE">
      <w:start w:val="1"/>
      <w:numFmt w:val="bullet"/>
      <w:lvlText w:val="●"/>
      <w:lvlJc w:val="left"/>
      <w:pPr>
        <w:ind w:left="720" w:hanging="360"/>
      </w:pPr>
    </w:lvl>
    <w:lvl w:ilvl="1" w:tplc="C9401672">
      <w:start w:val="1"/>
      <w:numFmt w:val="bullet"/>
      <w:lvlText w:val="○"/>
      <w:lvlJc w:val="left"/>
      <w:pPr>
        <w:ind w:left="1440" w:hanging="360"/>
      </w:pPr>
    </w:lvl>
    <w:lvl w:ilvl="2" w:tplc="599663A8">
      <w:start w:val="1"/>
      <w:numFmt w:val="bullet"/>
      <w:lvlText w:val="■"/>
      <w:lvlJc w:val="left"/>
      <w:pPr>
        <w:ind w:left="2160" w:hanging="360"/>
      </w:pPr>
    </w:lvl>
    <w:lvl w:ilvl="3" w:tplc="80722CBE">
      <w:start w:val="1"/>
      <w:numFmt w:val="bullet"/>
      <w:lvlText w:val="●"/>
      <w:lvlJc w:val="left"/>
      <w:pPr>
        <w:ind w:left="2880" w:hanging="360"/>
      </w:pPr>
    </w:lvl>
    <w:lvl w:ilvl="4" w:tplc="BFCEE240">
      <w:start w:val="1"/>
      <w:numFmt w:val="bullet"/>
      <w:lvlText w:val="○"/>
      <w:lvlJc w:val="left"/>
      <w:pPr>
        <w:ind w:left="3600" w:hanging="360"/>
      </w:pPr>
    </w:lvl>
    <w:lvl w:ilvl="5" w:tplc="51BAC5D6">
      <w:start w:val="1"/>
      <w:numFmt w:val="bullet"/>
      <w:lvlText w:val="■"/>
      <w:lvlJc w:val="left"/>
      <w:pPr>
        <w:ind w:left="4320" w:hanging="360"/>
      </w:pPr>
    </w:lvl>
    <w:lvl w:ilvl="6" w:tplc="51B050B8">
      <w:start w:val="1"/>
      <w:numFmt w:val="bullet"/>
      <w:lvlText w:val="●"/>
      <w:lvlJc w:val="left"/>
      <w:pPr>
        <w:ind w:left="5040" w:hanging="360"/>
      </w:pPr>
    </w:lvl>
    <w:lvl w:ilvl="7" w:tplc="3C46D09C">
      <w:start w:val="1"/>
      <w:numFmt w:val="bullet"/>
      <w:lvlText w:val="●"/>
      <w:lvlJc w:val="left"/>
      <w:pPr>
        <w:ind w:left="5760" w:hanging="360"/>
      </w:pPr>
    </w:lvl>
    <w:lvl w:ilvl="8" w:tplc="8F10D2F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707"/>
    <w:rsid w:val="0007390D"/>
    <w:rsid w:val="00552707"/>
    <w:rsid w:val="006A55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0F7DF"/>
  <w15:docId w15:val="{2E234C7D-BFC7-40F6-9E69-F49EDA103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3390/ijms222312808"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093/ijnp/pyy07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861</Words>
  <Characters>4913</Characters>
  <Application>Microsoft Office Word</Application>
  <DocSecurity>0</DocSecurity>
  <Lines>40</Lines>
  <Paragraphs>11</Paragraphs>
  <ScaleCrop>false</ScaleCrop>
  <Company>HP</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SPECTRE</cp:lastModifiedBy>
  <cp:revision>2</cp:revision>
  <dcterms:created xsi:type="dcterms:W3CDTF">2026-09-26T16:31:00Z</dcterms:created>
  <dcterms:modified xsi:type="dcterms:W3CDTF">2026-09-26T16:31:00Z</dcterms:modified>
</cp:coreProperties>
</file>