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5E" w:rsidRDefault="009F265E">
      <w:pPr>
        <w:spacing w:line="480" w:lineRule="auto"/>
        <w:jc w:val="center"/>
      </w:pPr>
    </w:p>
    <w:p w:rsidR="009F265E" w:rsidRDefault="009F265E">
      <w:pPr>
        <w:spacing w:line="480" w:lineRule="auto"/>
        <w:jc w:val="center"/>
      </w:pPr>
    </w:p>
    <w:p w:rsidR="009F265E" w:rsidRDefault="009F265E">
      <w:pPr>
        <w:spacing w:line="480" w:lineRule="auto"/>
        <w:jc w:val="center"/>
      </w:pPr>
    </w:p>
    <w:p w:rsidR="009F265E" w:rsidRDefault="00F8076C">
      <w:pPr>
        <w:spacing w:line="480" w:lineRule="auto"/>
        <w:jc w:val="center"/>
      </w:pPr>
      <w:r>
        <w:rPr>
          <w:b/>
          <w:bCs/>
        </w:rPr>
        <w:t>Community Teaching Project: Part 2</w:t>
      </w:r>
    </w:p>
    <w:p w:rsidR="009F265E" w:rsidRDefault="00F8076C">
      <w:pPr>
        <w:spacing w:line="480" w:lineRule="auto"/>
        <w:jc w:val="center"/>
      </w:pPr>
      <w:r>
        <w:t>Community Assessment</w:t>
      </w:r>
    </w:p>
    <w:p w:rsidR="009F265E" w:rsidRDefault="009F265E">
      <w:pPr>
        <w:spacing w:line="480" w:lineRule="auto"/>
        <w:jc w:val="center"/>
      </w:pPr>
    </w:p>
    <w:p w:rsidR="009F265E" w:rsidRDefault="00F8076C">
      <w:pPr>
        <w:spacing w:line="480" w:lineRule="auto"/>
        <w:jc w:val="center"/>
      </w:pPr>
      <w:r>
        <w:t>[Student Name]</w:t>
      </w:r>
    </w:p>
    <w:p w:rsidR="009F265E" w:rsidRDefault="00F8076C">
      <w:pPr>
        <w:spacing w:line="480" w:lineRule="auto"/>
        <w:jc w:val="center"/>
      </w:pPr>
      <w:r>
        <w:t>College of Nursing and Health Care Professions, Grand Canyon University</w:t>
      </w:r>
    </w:p>
    <w:p w:rsidR="009F265E" w:rsidRDefault="00F8076C">
      <w:pPr>
        <w:spacing w:line="480" w:lineRule="auto"/>
        <w:jc w:val="center"/>
      </w:pPr>
      <w:r>
        <w:t>NRS-425: Health Promotion and Population Health</w:t>
      </w:r>
    </w:p>
    <w:p w:rsidR="009F265E" w:rsidRDefault="00F8076C">
      <w:pPr>
        <w:spacing w:line="480" w:lineRule="auto"/>
        <w:jc w:val="center"/>
      </w:pPr>
      <w:r>
        <w:t>[Instructor Name]</w:t>
      </w:r>
    </w:p>
    <w:p w:rsidR="009F265E" w:rsidRDefault="00F8076C">
      <w:pPr>
        <w:spacing w:line="480" w:lineRule="auto"/>
        <w:jc w:val="center"/>
      </w:pPr>
      <w:r>
        <w:t>[Due Date]</w:t>
      </w:r>
    </w:p>
    <w:p w:rsidR="009F265E" w:rsidRPr="007D00AE" w:rsidRDefault="00F8076C" w:rsidP="007D00AE">
      <w:pPr>
        <w:spacing w:before="120" w:line="276" w:lineRule="auto"/>
        <w:rPr>
          <w:i/>
        </w:rPr>
      </w:pPr>
      <w:r>
        <w:br w:type="page"/>
      </w:r>
      <w:r w:rsidR="007D00AE" w:rsidRPr="007D00AE">
        <w:rPr>
          <w:b/>
          <w:bCs/>
          <w:i/>
          <w:color w:val="0A1F3D"/>
        </w:rPr>
        <w:lastRenderedPageBreak/>
        <w:t>For Reference Use Only</w:t>
      </w:r>
      <w:r w:rsidR="007D00AE" w:rsidRPr="007D00AE">
        <w:rPr>
          <w:i/>
        </w:rPr>
        <w:t xml:space="preserve">: </w:t>
      </w:r>
      <w:r w:rsidR="007D00AE" w:rsidRPr="007D00AE">
        <w:rPr>
          <w:i/>
          <w:sz w:val="22"/>
          <w:szCs w:val="22"/>
        </w:rPr>
        <w:t>This worked sample uses a fictitious community for demonstration purposes. Need a custom community assessment completed for your specific county and community site? Reach out to us on WhatsApp for a fast response.</w:t>
      </w:r>
      <w:r w:rsidR="007D00AE" w:rsidRPr="007D00AE">
        <w:rPr>
          <w:i/>
        </w:rPr>
        <w:t xml:space="preserve"> </w:t>
      </w:r>
      <w:r w:rsidR="007D00AE" w:rsidRPr="007D00AE">
        <w:rPr>
          <w:b/>
          <w:bCs/>
          <w:i/>
          <w:color w:val="1F8A4C"/>
          <w:sz w:val="22"/>
          <w:szCs w:val="22"/>
        </w:rPr>
        <w:t xml:space="preserve">Message us on WhatsApp: </w:t>
      </w:r>
      <w:hyperlink r:id="rId7" w:history="1">
        <w:r w:rsidR="007D00AE" w:rsidRPr="007D00AE">
          <w:rPr>
            <w:rStyle w:val="Hyperlink"/>
            <w:i/>
            <w:sz w:val="22"/>
            <w:szCs w:val="22"/>
          </w:rPr>
          <w:t>+1 564-544-6924</w:t>
        </w:r>
      </w:hyperlink>
    </w:p>
    <w:p w:rsidR="007D00AE" w:rsidRDefault="007D00AE" w:rsidP="007D00AE">
      <w:pPr>
        <w:spacing w:before="120" w:line="276" w:lineRule="auto"/>
      </w:pPr>
    </w:p>
    <w:p w:rsidR="009F265E" w:rsidRDefault="00F8076C">
      <w:pPr>
        <w:spacing w:after="120" w:line="480" w:lineRule="auto"/>
        <w:jc w:val="center"/>
      </w:pPr>
      <w:r>
        <w:rPr>
          <w:b/>
          <w:bCs/>
          <w:color w:val="0A1F3D"/>
        </w:rPr>
        <w:t>Benchmark — Community Teaching Project: Part 2</w:t>
      </w:r>
    </w:p>
    <w:p w:rsidR="009F265E" w:rsidRDefault="00F8076C" w:rsidP="007D00AE">
      <w:pPr>
        <w:spacing w:after="120" w:line="480" w:lineRule="auto"/>
      </w:pPr>
      <w:r>
        <w:rPr>
          <w:b/>
          <w:bCs/>
          <w:i/>
          <w:iCs/>
        </w:rPr>
        <w:t>Community Assessment</w:t>
      </w:r>
      <w:bookmarkStart w:id="0" w:name="_GoBack"/>
      <w:bookmarkEnd w:id="0"/>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000"/>
      </w:tblGrid>
      <w:tr w:rsidR="009F265E">
        <w:tc>
          <w:tcPr>
            <w:tcW w:w="2800" w:type="dxa"/>
            <w:tcBorders>
              <w:top w:val="single" w:sz="4" w:space="0" w:color="B7C4CC"/>
              <w:left w:val="single" w:sz="4" w:space="0" w:color="B7C4CC"/>
              <w:bottom w:val="single" w:sz="4" w:space="0" w:color="B7C4CC"/>
              <w:right w:val="single" w:sz="4" w:space="0" w:color="B7C4CC"/>
            </w:tcBorders>
            <w:shd w:val="clear" w:color="auto" w:fill="E8F1F2"/>
            <w:tcMar>
              <w:top w:w="60" w:type="dxa"/>
              <w:left w:w="110" w:type="dxa"/>
              <w:bottom w:w="60" w:type="dxa"/>
              <w:right w:w="110" w:type="dxa"/>
            </w:tcMar>
          </w:tcPr>
          <w:p w:rsidR="009F265E" w:rsidRDefault="00F8076C">
            <w:pPr>
              <w:spacing w:line="276" w:lineRule="auto"/>
            </w:pPr>
            <w:r>
              <w:rPr>
                <w:b/>
                <w:bCs/>
                <w:color w:val="0A1F3D"/>
                <w:sz w:val="22"/>
                <w:szCs w:val="22"/>
              </w:rPr>
              <w:t>Student Name</w:t>
            </w:r>
          </w:p>
        </w:tc>
        <w:tc>
          <w:tcPr>
            <w:tcW w:w="6000" w:type="dxa"/>
            <w:tcBorders>
              <w:top w:val="single" w:sz="4" w:space="0" w:color="B7C4CC"/>
              <w:left w:val="single" w:sz="4" w:space="0" w:color="B7C4CC"/>
              <w:bottom w:val="single" w:sz="4" w:space="0" w:color="B7C4CC"/>
              <w:right w:val="single" w:sz="4" w:space="0" w:color="B7C4CC"/>
            </w:tcBorders>
            <w:tcMar>
              <w:top w:w="60" w:type="dxa"/>
              <w:left w:w="110" w:type="dxa"/>
              <w:bottom w:w="60" w:type="dxa"/>
              <w:right w:w="110" w:type="dxa"/>
            </w:tcMar>
          </w:tcPr>
          <w:p w:rsidR="009F265E" w:rsidRDefault="00F8076C">
            <w:pPr>
              <w:spacing w:line="276" w:lineRule="auto"/>
            </w:pPr>
            <w:r>
              <w:rPr>
                <w:sz w:val="22"/>
                <w:szCs w:val="22"/>
              </w:rPr>
              <w:t>[Student Name]</w:t>
            </w:r>
          </w:p>
        </w:tc>
      </w:tr>
      <w:tr w:rsidR="009F265E">
        <w:tc>
          <w:tcPr>
            <w:tcW w:w="2800" w:type="dxa"/>
            <w:tcBorders>
              <w:top w:val="single" w:sz="4" w:space="0" w:color="B7C4CC"/>
              <w:left w:val="single" w:sz="4" w:space="0" w:color="B7C4CC"/>
              <w:bottom w:val="single" w:sz="4" w:space="0" w:color="B7C4CC"/>
              <w:right w:val="single" w:sz="4" w:space="0" w:color="B7C4CC"/>
            </w:tcBorders>
            <w:shd w:val="clear" w:color="auto" w:fill="E8F1F2"/>
            <w:tcMar>
              <w:top w:w="60" w:type="dxa"/>
              <w:left w:w="110" w:type="dxa"/>
              <w:bottom w:w="60" w:type="dxa"/>
              <w:right w:w="110" w:type="dxa"/>
            </w:tcMar>
          </w:tcPr>
          <w:p w:rsidR="009F265E" w:rsidRDefault="00F8076C">
            <w:pPr>
              <w:spacing w:line="276" w:lineRule="auto"/>
            </w:pPr>
            <w:r>
              <w:rPr>
                <w:b/>
                <w:bCs/>
                <w:color w:val="0A1F3D"/>
                <w:sz w:val="22"/>
                <w:szCs w:val="22"/>
              </w:rPr>
              <w:t>Faculty Name</w:t>
            </w:r>
          </w:p>
        </w:tc>
        <w:tc>
          <w:tcPr>
            <w:tcW w:w="6000" w:type="dxa"/>
            <w:tcBorders>
              <w:top w:val="single" w:sz="4" w:space="0" w:color="B7C4CC"/>
              <w:left w:val="single" w:sz="4" w:space="0" w:color="B7C4CC"/>
              <w:bottom w:val="single" w:sz="4" w:space="0" w:color="B7C4CC"/>
              <w:right w:val="single" w:sz="4" w:space="0" w:color="B7C4CC"/>
            </w:tcBorders>
            <w:tcMar>
              <w:top w:w="60" w:type="dxa"/>
              <w:left w:w="110" w:type="dxa"/>
              <w:bottom w:w="60" w:type="dxa"/>
              <w:right w:w="110" w:type="dxa"/>
            </w:tcMar>
          </w:tcPr>
          <w:p w:rsidR="009F265E" w:rsidRDefault="00F8076C">
            <w:pPr>
              <w:spacing w:line="276" w:lineRule="auto"/>
            </w:pPr>
            <w:r>
              <w:rPr>
                <w:sz w:val="22"/>
                <w:szCs w:val="22"/>
              </w:rPr>
              <w:t>[Instructor Name]</w:t>
            </w:r>
          </w:p>
        </w:tc>
      </w:tr>
      <w:tr w:rsidR="009F265E">
        <w:tc>
          <w:tcPr>
            <w:tcW w:w="2800" w:type="dxa"/>
            <w:tcBorders>
              <w:top w:val="single" w:sz="4" w:space="0" w:color="B7C4CC"/>
              <w:left w:val="single" w:sz="4" w:space="0" w:color="B7C4CC"/>
              <w:bottom w:val="single" w:sz="4" w:space="0" w:color="B7C4CC"/>
              <w:right w:val="single" w:sz="4" w:space="0" w:color="B7C4CC"/>
            </w:tcBorders>
            <w:shd w:val="clear" w:color="auto" w:fill="E8F1F2"/>
            <w:tcMar>
              <w:top w:w="60" w:type="dxa"/>
              <w:left w:w="110" w:type="dxa"/>
              <w:bottom w:w="60" w:type="dxa"/>
              <w:right w:w="110" w:type="dxa"/>
            </w:tcMar>
          </w:tcPr>
          <w:p w:rsidR="009F265E" w:rsidRDefault="00F8076C">
            <w:pPr>
              <w:spacing w:line="276" w:lineRule="auto"/>
            </w:pPr>
            <w:r>
              <w:rPr>
                <w:b/>
                <w:bCs/>
                <w:color w:val="0A1F3D"/>
                <w:sz w:val="22"/>
                <w:szCs w:val="22"/>
              </w:rPr>
              <w:t>County Name</w:t>
            </w:r>
          </w:p>
        </w:tc>
        <w:tc>
          <w:tcPr>
            <w:tcW w:w="6000" w:type="dxa"/>
            <w:tcBorders>
              <w:top w:val="single" w:sz="4" w:space="0" w:color="B7C4CC"/>
              <w:left w:val="single" w:sz="4" w:space="0" w:color="B7C4CC"/>
              <w:bottom w:val="single" w:sz="4" w:space="0" w:color="B7C4CC"/>
              <w:right w:val="single" w:sz="4" w:space="0" w:color="B7C4CC"/>
            </w:tcBorders>
            <w:tcMar>
              <w:top w:w="60" w:type="dxa"/>
              <w:left w:w="110" w:type="dxa"/>
              <w:bottom w:w="60" w:type="dxa"/>
              <w:right w:w="110" w:type="dxa"/>
            </w:tcMar>
          </w:tcPr>
          <w:p w:rsidR="009F265E" w:rsidRDefault="00F8076C">
            <w:pPr>
              <w:spacing w:line="276" w:lineRule="auto"/>
            </w:pPr>
            <w:r>
              <w:rPr>
                <w:sz w:val="22"/>
                <w:szCs w:val="22"/>
              </w:rPr>
              <w:t>Clearwater County</w:t>
            </w:r>
          </w:p>
        </w:tc>
      </w:tr>
      <w:tr w:rsidR="009F265E">
        <w:tc>
          <w:tcPr>
            <w:tcW w:w="2800" w:type="dxa"/>
            <w:tcBorders>
              <w:top w:val="single" w:sz="4" w:space="0" w:color="B7C4CC"/>
              <w:left w:val="single" w:sz="4" w:space="0" w:color="B7C4CC"/>
              <w:bottom w:val="single" w:sz="4" w:space="0" w:color="B7C4CC"/>
              <w:right w:val="single" w:sz="4" w:space="0" w:color="B7C4CC"/>
            </w:tcBorders>
            <w:shd w:val="clear" w:color="auto" w:fill="E8F1F2"/>
            <w:tcMar>
              <w:top w:w="60" w:type="dxa"/>
              <w:left w:w="110" w:type="dxa"/>
              <w:bottom w:w="60" w:type="dxa"/>
              <w:right w:w="110" w:type="dxa"/>
            </w:tcMar>
          </w:tcPr>
          <w:p w:rsidR="009F265E" w:rsidRDefault="00F8076C">
            <w:pPr>
              <w:spacing w:line="276" w:lineRule="auto"/>
            </w:pPr>
            <w:r>
              <w:rPr>
                <w:b/>
                <w:bCs/>
                <w:color w:val="0A1F3D"/>
                <w:sz w:val="22"/>
                <w:szCs w:val="22"/>
              </w:rPr>
              <w:t>Community Organization</w:t>
            </w:r>
          </w:p>
        </w:tc>
        <w:tc>
          <w:tcPr>
            <w:tcW w:w="6000" w:type="dxa"/>
            <w:tcBorders>
              <w:top w:val="single" w:sz="4" w:space="0" w:color="B7C4CC"/>
              <w:left w:val="single" w:sz="4" w:space="0" w:color="B7C4CC"/>
              <w:bottom w:val="single" w:sz="4" w:space="0" w:color="B7C4CC"/>
              <w:right w:val="single" w:sz="4" w:space="0" w:color="B7C4CC"/>
            </w:tcBorders>
            <w:tcMar>
              <w:top w:w="60" w:type="dxa"/>
              <w:left w:w="110" w:type="dxa"/>
              <w:bottom w:w="60" w:type="dxa"/>
              <w:right w:w="110" w:type="dxa"/>
            </w:tcMar>
          </w:tcPr>
          <w:p w:rsidR="009F265E" w:rsidRDefault="00F8076C">
            <w:pPr>
              <w:spacing w:line="276" w:lineRule="auto"/>
            </w:pPr>
            <w:r>
              <w:rPr>
                <w:sz w:val="22"/>
                <w:szCs w:val="22"/>
              </w:rPr>
              <w:t>Clearwater Community Health Center</w:t>
            </w:r>
          </w:p>
        </w:tc>
      </w:tr>
      <w:tr w:rsidR="009F265E">
        <w:tc>
          <w:tcPr>
            <w:tcW w:w="2800" w:type="dxa"/>
            <w:tcBorders>
              <w:top w:val="single" w:sz="4" w:space="0" w:color="B7C4CC"/>
              <w:left w:val="single" w:sz="4" w:space="0" w:color="B7C4CC"/>
              <w:bottom w:val="single" w:sz="4" w:space="0" w:color="B7C4CC"/>
              <w:right w:val="single" w:sz="4" w:space="0" w:color="B7C4CC"/>
            </w:tcBorders>
            <w:shd w:val="clear" w:color="auto" w:fill="E8F1F2"/>
            <w:tcMar>
              <w:top w:w="60" w:type="dxa"/>
              <w:left w:w="110" w:type="dxa"/>
              <w:bottom w:w="60" w:type="dxa"/>
              <w:right w:w="110" w:type="dxa"/>
            </w:tcMar>
          </w:tcPr>
          <w:p w:rsidR="009F265E" w:rsidRDefault="00F8076C">
            <w:pPr>
              <w:spacing w:line="276" w:lineRule="auto"/>
            </w:pPr>
            <w:r>
              <w:rPr>
                <w:b/>
                <w:bCs/>
                <w:color w:val="0A1F3D"/>
                <w:sz w:val="22"/>
                <w:szCs w:val="22"/>
              </w:rPr>
              <w:t>Zip Code</w:t>
            </w:r>
          </w:p>
        </w:tc>
        <w:tc>
          <w:tcPr>
            <w:tcW w:w="6000" w:type="dxa"/>
            <w:tcBorders>
              <w:top w:val="single" w:sz="4" w:space="0" w:color="B7C4CC"/>
              <w:left w:val="single" w:sz="4" w:space="0" w:color="B7C4CC"/>
              <w:bottom w:val="single" w:sz="4" w:space="0" w:color="B7C4CC"/>
              <w:right w:val="single" w:sz="4" w:space="0" w:color="B7C4CC"/>
            </w:tcBorders>
            <w:tcMar>
              <w:top w:w="60" w:type="dxa"/>
              <w:left w:w="110" w:type="dxa"/>
              <w:bottom w:w="60" w:type="dxa"/>
              <w:right w:w="110" w:type="dxa"/>
            </w:tcMar>
          </w:tcPr>
          <w:p w:rsidR="009F265E" w:rsidRDefault="00F8076C">
            <w:pPr>
              <w:spacing w:line="276" w:lineRule="auto"/>
            </w:pPr>
            <w:r>
              <w:rPr>
                <w:sz w:val="22"/>
                <w:szCs w:val="22"/>
              </w:rPr>
              <w:t>34601</w:t>
            </w:r>
          </w:p>
        </w:tc>
      </w:tr>
    </w:tbl>
    <w:p w:rsidR="009F265E" w:rsidRDefault="009F265E">
      <w:pPr>
        <w:spacing w:after="200"/>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800"/>
      </w:tblGrid>
      <w:tr w:rsidR="009F265E">
        <w:tc>
          <w:tcPr>
            <w:tcW w:w="8800" w:type="dxa"/>
            <w:tcBorders>
              <w:top w:val="single" w:sz="4" w:space="0" w:color="B7C4CC"/>
              <w:left w:val="single" w:sz="4" w:space="0" w:color="B7C4CC"/>
              <w:bottom w:val="single" w:sz="4" w:space="0" w:color="B7C4CC"/>
              <w:right w:val="single" w:sz="4" w:space="0" w:color="B7C4CC"/>
            </w:tcBorders>
            <w:tcMar>
              <w:top w:w="80" w:type="dxa"/>
              <w:left w:w="120" w:type="dxa"/>
              <w:bottom w:w="80" w:type="dxa"/>
              <w:right w:w="120" w:type="dxa"/>
            </w:tcMar>
          </w:tcPr>
          <w:p w:rsidR="009F265E" w:rsidRDefault="00F8076C">
            <w:pPr>
              <w:spacing w:after="60" w:line="276" w:lineRule="auto"/>
            </w:pPr>
            <w:r>
              <w:rPr>
                <w:b/>
                <w:bCs/>
                <w:color w:val="0A1F3D"/>
                <w:sz w:val="22"/>
                <w:szCs w:val="22"/>
              </w:rPr>
              <w:t>Community Description</w:t>
            </w:r>
          </w:p>
          <w:p w:rsidR="009F265E" w:rsidRDefault="00F8076C">
            <w:pPr>
              <w:spacing w:line="312" w:lineRule="auto"/>
            </w:pPr>
            <w:r>
              <w:rPr>
                <w:sz w:val="22"/>
                <w:szCs w:val="22"/>
              </w:rPr>
              <w:t>Clearwater County is a mid-sized suburban county in the southeastern United States with a population of approximately 165,000. The County Health Rankings data indicate that 18% of residents live below the federal poverty line, and the uninsured rate is 14%. The Environmental Justice Dashboard flags elevated particulate-matter exposure in the eastern industrial corridor, where lower-income and minority populations are concentrated. The windshield survey revealed a mix of single-family subdivisions, aging apartment complexes, and several mobile-home communities. Chain pharmacies and a regional hospital are located along the main commercial corridor, but the eastern neighborhoods lack a primary-care clinic within walking distance. Public transit service is limited to two bus routes operating on weekday schedules only.</w:t>
            </w:r>
          </w:p>
        </w:tc>
      </w:tr>
      <w:tr w:rsidR="009F265E">
        <w:tc>
          <w:tcPr>
            <w:tcW w:w="8800" w:type="dxa"/>
            <w:tcBorders>
              <w:top w:val="single" w:sz="4" w:space="0" w:color="B7C4CC"/>
              <w:left w:val="single" w:sz="4" w:space="0" w:color="B7C4CC"/>
              <w:bottom w:val="single" w:sz="4" w:space="0" w:color="B7C4CC"/>
              <w:right w:val="single" w:sz="4" w:space="0" w:color="B7C4CC"/>
            </w:tcBorders>
            <w:tcMar>
              <w:top w:w="80" w:type="dxa"/>
              <w:left w:w="120" w:type="dxa"/>
              <w:bottom w:w="80" w:type="dxa"/>
              <w:right w:w="120" w:type="dxa"/>
            </w:tcMar>
          </w:tcPr>
          <w:p w:rsidR="009F265E" w:rsidRDefault="00F8076C">
            <w:pPr>
              <w:spacing w:after="60" w:line="276" w:lineRule="auto"/>
            </w:pPr>
            <w:r>
              <w:rPr>
                <w:b/>
                <w:bCs/>
                <w:color w:val="0A1F3D"/>
                <w:sz w:val="22"/>
                <w:szCs w:val="22"/>
              </w:rPr>
              <w:t>Windshield Survey Findings</w:t>
            </w:r>
          </w:p>
          <w:p w:rsidR="009F265E" w:rsidRDefault="00F8076C">
            <w:pPr>
              <w:spacing w:line="312" w:lineRule="auto"/>
            </w:pPr>
            <w:r>
              <w:rPr>
                <w:sz w:val="22"/>
                <w:szCs w:val="22"/>
              </w:rPr>
              <w:t>During the drive-through observation, the following were noted: well-maintained commercial areas along the western corridor with grocery stores, pharmacies, and urgent-care clinics; deteriorating infrastructure in the eastern neighborhoods, including cracked sidewalks, limited street lighting, and visibly older housing stock; several convenience stores but no full-service grocery within a two-mile radius of the eastern zone, suggesting a food desert; a community park with a walking trail in the western area but no comparable green space in the east; a fire station and sheriff substation centrally located; churches and a small community center serving as informal gathering points in the eastern neighborhoods; billboards advertising tobacco products concentrated in lower-income areas.</w:t>
            </w:r>
          </w:p>
        </w:tc>
      </w:tr>
      <w:tr w:rsidR="009F265E">
        <w:tc>
          <w:tcPr>
            <w:tcW w:w="8800" w:type="dxa"/>
            <w:tcBorders>
              <w:top w:val="single" w:sz="4" w:space="0" w:color="B7C4CC"/>
              <w:left w:val="single" w:sz="4" w:space="0" w:color="B7C4CC"/>
              <w:bottom w:val="single" w:sz="4" w:space="0" w:color="B7C4CC"/>
              <w:right w:val="single" w:sz="4" w:space="0" w:color="B7C4CC"/>
            </w:tcBorders>
            <w:tcMar>
              <w:top w:w="80" w:type="dxa"/>
              <w:left w:w="120" w:type="dxa"/>
              <w:bottom w:w="80" w:type="dxa"/>
              <w:right w:w="120" w:type="dxa"/>
            </w:tcMar>
          </w:tcPr>
          <w:p w:rsidR="009F265E" w:rsidRDefault="00F8076C">
            <w:pPr>
              <w:spacing w:after="60" w:line="276" w:lineRule="auto"/>
            </w:pPr>
            <w:r>
              <w:rPr>
                <w:b/>
                <w:bCs/>
                <w:color w:val="0A1F3D"/>
                <w:sz w:val="22"/>
                <w:szCs w:val="22"/>
              </w:rPr>
              <w:t>County Health Rankings Summary</w:t>
            </w:r>
          </w:p>
          <w:p w:rsidR="009F265E" w:rsidRDefault="00F8076C">
            <w:pPr>
              <w:spacing w:line="312" w:lineRule="auto"/>
            </w:pPr>
            <w:r>
              <w:rPr>
                <w:sz w:val="22"/>
                <w:szCs w:val="22"/>
              </w:rPr>
              <w:lastRenderedPageBreak/>
              <w:t>Health Outcomes: the county ranks in the bottom quartile of the state for premature death and low birthweight. Health Factors: adult obesity rate is 38%, adult smoking rate is 22%, and physical inactivity rate is 31%. Clinical Care: the ratio of population to primary-care physicians is 2,100:1, well above the state average of 1,400:1. Social and Economic Factors: the high-school graduation rate is 81%, and 24% of children live in poverty. Physical Environment: 12% of the population faces severe housing problems, and drinking-water violations have been reported in two of the past five years.</w:t>
            </w:r>
          </w:p>
        </w:tc>
      </w:tr>
      <w:tr w:rsidR="009F265E">
        <w:tc>
          <w:tcPr>
            <w:tcW w:w="8800" w:type="dxa"/>
            <w:tcBorders>
              <w:top w:val="single" w:sz="4" w:space="0" w:color="B7C4CC"/>
              <w:left w:val="single" w:sz="4" w:space="0" w:color="B7C4CC"/>
              <w:bottom w:val="single" w:sz="4" w:space="0" w:color="B7C4CC"/>
              <w:right w:val="single" w:sz="4" w:space="0" w:color="B7C4CC"/>
            </w:tcBorders>
            <w:tcMar>
              <w:top w:w="80" w:type="dxa"/>
              <w:left w:w="120" w:type="dxa"/>
              <w:bottom w:w="80" w:type="dxa"/>
              <w:right w:w="120" w:type="dxa"/>
            </w:tcMar>
          </w:tcPr>
          <w:p w:rsidR="009F265E" w:rsidRDefault="00F8076C">
            <w:pPr>
              <w:spacing w:after="60" w:line="276" w:lineRule="auto"/>
            </w:pPr>
            <w:r>
              <w:rPr>
                <w:b/>
                <w:bCs/>
                <w:color w:val="0A1F3D"/>
                <w:sz w:val="22"/>
                <w:szCs w:val="22"/>
              </w:rPr>
              <w:lastRenderedPageBreak/>
              <w:t>Environmental Justice Dashboard Summary</w:t>
            </w:r>
          </w:p>
          <w:p w:rsidR="009F265E" w:rsidRDefault="00F8076C">
            <w:pPr>
              <w:spacing w:line="312" w:lineRule="auto"/>
            </w:pPr>
            <w:r>
              <w:rPr>
                <w:sz w:val="22"/>
                <w:szCs w:val="22"/>
              </w:rPr>
              <w:t>The EPA Environmental Justice Dashboard identifies the eastern census tracts as scoring above the 80th percentile nationally for particulate-matter 2.5 exposure and above the 75th percentile for proximity to hazardous-waste facilities. These tracts have a higher proportion of residents who are people of color and residents with limited English proficiency compared to the county average. The overlay of environmental burden and socioeconomic vulnerability classifies the eastern corridor as an environmental-justice community under federal screening criteria.</w:t>
            </w:r>
          </w:p>
        </w:tc>
      </w:tr>
      <w:tr w:rsidR="009F265E">
        <w:tc>
          <w:tcPr>
            <w:tcW w:w="8800" w:type="dxa"/>
            <w:tcBorders>
              <w:top w:val="single" w:sz="4" w:space="0" w:color="B7C4CC"/>
              <w:left w:val="single" w:sz="4" w:space="0" w:color="B7C4CC"/>
              <w:bottom w:val="single" w:sz="4" w:space="0" w:color="B7C4CC"/>
              <w:right w:val="single" w:sz="4" w:space="0" w:color="B7C4CC"/>
            </w:tcBorders>
            <w:tcMar>
              <w:top w:w="80" w:type="dxa"/>
              <w:left w:w="120" w:type="dxa"/>
              <w:bottom w:w="80" w:type="dxa"/>
              <w:right w:w="120" w:type="dxa"/>
            </w:tcMar>
          </w:tcPr>
          <w:p w:rsidR="009F265E" w:rsidRDefault="00F8076C">
            <w:pPr>
              <w:spacing w:after="60" w:line="276" w:lineRule="auto"/>
            </w:pPr>
            <w:r>
              <w:rPr>
                <w:b/>
                <w:bCs/>
                <w:color w:val="0A1F3D"/>
                <w:sz w:val="22"/>
                <w:szCs w:val="22"/>
              </w:rPr>
              <w:t>Priority Health Issue</w:t>
            </w:r>
          </w:p>
          <w:p w:rsidR="009F265E" w:rsidRDefault="00F8076C">
            <w:pPr>
              <w:spacing w:line="312" w:lineRule="auto"/>
            </w:pPr>
            <w:r>
              <w:rPr>
                <w:sz w:val="22"/>
                <w:szCs w:val="22"/>
              </w:rPr>
              <w:t>Type 2 diabetes and obesity represent the priority health issue for this community. The adult obesity rate of 38% exceeds both the state and national averages, and the County Health Rankings data show elevated rates of physical inactivity and limited access to healthy foods in the eastern neighborhoods. The windshield survey confirmed the absence of a full-service grocery store in the area most affected, reinforcing the data-driven identification of a food desert. Addressing this issue through community education on nutrition, physical activity, and diabetes prevention aligns with Healthy People 2030 objectives and targets the population most affected by health disparities.</w:t>
            </w:r>
          </w:p>
        </w:tc>
      </w:tr>
    </w:tbl>
    <w:p w:rsidR="009F265E" w:rsidRDefault="00F8076C">
      <w:r>
        <w:br w:type="page"/>
      </w:r>
    </w:p>
    <w:p w:rsidR="009F265E" w:rsidRDefault="00F8076C">
      <w:pPr>
        <w:spacing w:line="480" w:lineRule="auto"/>
        <w:jc w:val="center"/>
      </w:pPr>
      <w:r>
        <w:rPr>
          <w:b/>
          <w:bCs/>
        </w:rPr>
        <w:lastRenderedPageBreak/>
        <w:t>References</w:t>
      </w:r>
    </w:p>
    <w:p w:rsidR="009F265E" w:rsidRDefault="00F8076C">
      <w:pPr>
        <w:spacing w:line="480" w:lineRule="auto"/>
        <w:ind w:left="720" w:hanging="720"/>
      </w:pPr>
      <w:r>
        <w:t xml:space="preserve">County Health Rankings &amp; Roadmaps. (2024). </w:t>
      </w:r>
      <w:r>
        <w:rPr>
          <w:i/>
          <w:iCs/>
        </w:rPr>
        <w:t xml:space="preserve">Clearwater County, FL. </w:t>
      </w:r>
      <w:r>
        <w:t xml:space="preserve">University of Wisconsin Population Health Institute. </w:t>
      </w:r>
      <w:hyperlink r:id="rId8" w:history="1">
        <w:r>
          <w:rPr>
            <w:rStyle w:val="Hyperlink"/>
            <w:sz w:val="22"/>
            <w:szCs w:val="22"/>
          </w:rPr>
          <w:t>https://www.countyhealthrankings.org</w:t>
        </w:r>
      </w:hyperlink>
    </w:p>
    <w:p w:rsidR="009F265E" w:rsidRDefault="00F8076C" w:rsidP="007D00AE">
      <w:pPr>
        <w:spacing w:line="480" w:lineRule="auto"/>
        <w:ind w:left="720" w:hanging="720"/>
      </w:pPr>
      <w:r>
        <w:t xml:space="preserve">U.S. Environmental Protection Agency. (2024). </w:t>
      </w:r>
      <w:r>
        <w:rPr>
          <w:i/>
          <w:iCs/>
        </w:rPr>
        <w:t xml:space="preserve">EJScreen: Environmental Justice Screening and Mapping Tool. </w:t>
      </w:r>
      <w:hyperlink r:id="rId9" w:history="1">
        <w:r>
          <w:rPr>
            <w:rStyle w:val="Hyperlink"/>
            <w:sz w:val="22"/>
            <w:szCs w:val="22"/>
          </w:rPr>
          <w:t>https://www.epa.gov/ejscreen</w:t>
        </w:r>
      </w:hyperlink>
    </w:p>
    <w:sectPr w:rsidR="009F265E">
      <w:head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04D" w:rsidRDefault="0053504D">
      <w:r>
        <w:separator/>
      </w:r>
    </w:p>
  </w:endnote>
  <w:endnote w:type="continuationSeparator" w:id="0">
    <w:p w:rsidR="0053504D" w:rsidRDefault="0053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04D" w:rsidRDefault="0053504D">
      <w:r>
        <w:separator/>
      </w:r>
    </w:p>
  </w:footnote>
  <w:footnote w:type="continuationSeparator" w:id="0">
    <w:p w:rsidR="0053504D" w:rsidRDefault="005350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65E" w:rsidRDefault="00F8076C">
    <w:pPr>
      <w:jc w:val="right"/>
    </w:pPr>
    <w:r>
      <w:fldChar w:fldCharType="begin"/>
    </w:r>
    <w:r>
      <w:instrText>PAGE</w:instrText>
    </w:r>
    <w:r>
      <w:fldChar w:fldCharType="separate"/>
    </w:r>
    <w:r w:rsidR="007D00AE">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0507B"/>
    <w:multiLevelType w:val="hybridMultilevel"/>
    <w:tmpl w:val="8A569F1E"/>
    <w:lvl w:ilvl="0" w:tplc="ED185490">
      <w:start w:val="1"/>
      <w:numFmt w:val="bullet"/>
      <w:lvlText w:val="●"/>
      <w:lvlJc w:val="left"/>
      <w:pPr>
        <w:ind w:left="720" w:hanging="360"/>
      </w:pPr>
    </w:lvl>
    <w:lvl w:ilvl="1" w:tplc="AA60BDF4">
      <w:start w:val="1"/>
      <w:numFmt w:val="bullet"/>
      <w:lvlText w:val="○"/>
      <w:lvlJc w:val="left"/>
      <w:pPr>
        <w:ind w:left="1440" w:hanging="360"/>
      </w:pPr>
    </w:lvl>
    <w:lvl w:ilvl="2" w:tplc="F1CCD5E4">
      <w:start w:val="1"/>
      <w:numFmt w:val="bullet"/>
      <w:lvlText w:val="■"/>
      <w:lvlJc w:val="left"/>
      <w:pPr>
        <w:ind w:left="2160" w:hanging="360"/>
      </w:pPr>
    </w:lvl>
    <w:lvl w:ilvl="3" w:tplc="4DDC7186">
      <w:start w:val="1"/>
      <w:numFmt w:val="bullet"/>
      <w:lvlText w:val="●"/>
      <w:lvlJc w:val="left"/>
      <w:pPr>
        <w:ind w:left="2880" w:hanging="360"/>
      </w:pPr>
    </w:lvl>
    <w:lvl w:ilvl="4" w:tplc="AEDA8F2E">
      <w:start w:val="1"/>
      <w:numFmt w:val="bullet"/>
      <w:lvlText w:val="○"/>
      <w:lvlJc w:val="left"/>
      <w:pPr>
        <w:ind w:left="3600" w:hanging="360"/>
      </w:pPr>
    </w:lvl>
    <w:lvl w:ilvl="5" w:tplc="73527B26">
      <w:start w:val="1"/>
      <w:numFmt w:val="bullet"/>
      <w:lvlText w:val="■"/>
      <w:lvlJc w:val="left"/>
      <w:pPr>
        <w:ind w:left="4320" w:hanging="360"/>
      </w:pPr>
    </w:lvl>
    <w:lvl w:ilvl="6" w:tplc="E02C906E">
      <w:start w:val="1"/>
      <w:numFmt w:val="bullet"/>
      <w:lvlText w:val="●"/>
      <w:lvlJc w:val="left"/>
      <w:pPr>
        <w:ind w:left="5040" w:hanging="360"/>
      </w:pPr>
    </w:lvl>
    <w:lvl w:ilvl="7" w:tplc="59A0D6DE">
      <w:start w:val="1"/>
      <w:numFmt w:val="bullet"/>
      <w:lvlText w:val="●"/>
      <w:lvlJc w:val="left"/>
      <w:pPr>
        <w:ind w:left="5760" w:hanging="360"/>
      </w:pPr>
    </w:lvl>
    <w:lvl w:ilvl="8" w:tplc="B13E4A6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5E"/>
    <w:rsid w:val="003B03D4"/>
    <w:rsid w:val="0053504D"/>
    <w:rsid w:val="007D00AE"/>
    <w:rsid w:val="009F265E"/>
    <w:rsid w:val="00CF25D6"/>
    <w:rsid w:val="00F80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22A76"/>
  <w15:docId w15:val="{B5F546CE-7A62-4CD1-8ADA-67A187BF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untyhealthrankings.org" TargetMode="External"/><Relationship Id="rId3" Type="http://schemas.openxmlformats.org/officeDocument/2006/relationships/settings" Target="settings.xml"/><Relationship Id="rId7" Type="http://schemas.openxmlformats.org/officeDocument/2006/relationships/hyperlink" Target="https://wa.me/15645446924?text=Hi%2C%20I%20need%20a%20custom%20NRS-425%20Community%20Assessment%20and%20Windshield%20Survey%20completed%20for%20my%20commun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pa.gov/ejscr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 SPECTRE</cp:lastModifiedBy>
  <cp:revision>3</cp:revision>
  <dcterms:created xsi:type="dcterms:W3CDTF">2026-06-20T02:35:00Z</dcterms:created>
  <dcterms:modified xsi:type="dcterms:W3CDTF">2026-06-20T03:40:00Z</dcterms:modified>
</cp:coreProperties>
</file>