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FEC" w:rsidRDefault="00DE5FEC">
      <w:pPr>
        <w:spacing w:line="480" w:lineRule="auto"/>
        <w:jc w:val="center"/>
      </w:pPr>
    </w:p>
    <w:p w:rsidR="00DE5FEC" w:rsidRDefault="00DE5FEC">
      <w:pPr>
        <w:spacing w:line="480" w:lineRule="auto"/>
        <w:jc w:val="center"/>
      </w:pPr>
    </w:p>
    <w:p w:rsidR="00DE5FEC" w:rsidRDefault="00DE5FEC">
      <w:pPr>
        <w:spacing w:line="480" w:lineRule="auto"/>
        <w:jc w:val="center"/>
      </w:pPr>
    </w:p>
    <w:p w:rsidR="00DE5FEC" w:rsidRDefault="00E64470">
      <w:pPr>
        <w:spacing w:line="480" w:lineRule="auto"/>
        <w:jc w:val="center"/>
      </w:pPr>
      <w:r>
        <w:rPr>
          <w:b/>
          <w:bCs/>
        </w:rPr>
        <w:t>Community Teaching Plan: Work Plan Proposal</w:t>
      </w:r>
    </w:p>
    <w:p w:rsidR="00DE5FEC" w:rsidRDefault="00DE5FEC">
      <w:pPr>
        <w:spacing w:line="480" w:lineRule="auto"/>
        <w:jc w:val="center"/>
      </w:pPr>
    </w:p>
    <w:p w:rsidR="00DE5FEC" w:rsidRDefault="00E64470">
      <w:pPr>
        <w:spacing w:line="480" w:lineRule="auto"/>
        <w:jc w:val="center"/>
      </w:pPr>
      <w:r>
        <w:t>[Student Name]</w:t>
      </w:r>
    </w:p>
    <w:p w:rsidR="00DE5FEC" w:rsidRDefault="00E64470">
      <w:pPr>
        <w:spacing w:line="480" w:lineRule="auto"/>
        <w:jc w:val="center"/>
      </w:pPr>
      <w:r>
        <w:t>College of Nursing and Health Care Professions, Grand Canyon University</w:t>
      </w:r>
    </w:p>
    <w:p w:rsidR="00DE5FEC" w:rsidRDefault="00E64470">
      <w:pPr>
        <w:spacing w:line="480" w:lineRule="auto"/>
        <w:jc w:val="center"/>
      </w:pPr>
      <w:r>
        <w:t>NRS-425: Health Promotion and Population Health</w:t>
      </w:r>
    </w:p>
    <w:p w:rsidR="00DE5FEC" w:rsidRDefault="00E64470">
      <w:pPr>
        <w:spacing w:line="480" w:lineRule="auto"/>
        <w:jc w:val="center"/>
      </w:pPr>
      <w:r>
        <w:t>[Instructor Name]</w:t>
      </w:r>
    </w:p>
    <w:p w:rsidR="00DE5FEC" w:rsidRDefault="00E64470">
      <w:pPr>
        <w:spacing w:line="480" w:lineRule="auto"/>
        <w:jc w:val="center"/>
      </w:pPr>
      <w:r>
        <w:t>[Due Date]</w:t>
      </w:r>
    </w:p>
    <w:p w:rsidR="00DE5FEC" w:rsidRDefault="00E64470">
      <w:pPr>
        <w:rPr>
          <w:rStyle w:val="Emphasis"/>
        </w:rPr>
      </w:pPr>
      <w:r>
        <w:br w:type="page"/>
      </w:r>
      <w:r w:rsidR="00D624FE">
        <w:rPr>
          <w:rStyle w:val="Strong"/>
          <w:i/>
          <w:iCs/>
        </w:rPr>
        <w:lastRenderedPageBreak/>
        <w:t>For Reference Use Only</w:t>
      </w:r>
      <w:r w:rsidR="00D624FE">
        <w:rPr>
          <w:rStyle w:val="Emphasis"/>
        </w:rPr>
        <w:t>: This worked sample uses a fictitious community and teaching scenario for demonstration purposes. Need a custom teaching plan completed for your specific community and health topic? Reach out</w:t>
      </w:r>
      <w:bookmarkStart w:id="0" w:name="_GoBack"/>
      <w:bookmarkEnd w:id="0"/>
      <w:r w:rsidR="00D624FE">
        <w:rPr>
          <w:rStyle w:val="Emphasis"/>
        </w:rPr>
        <w:t xml:space="preserve"> to us on WhatsApp for a fast response. </w:t>
      </w:r>
      <w:r w:rsidR="00D624FE">
        <w:rPr>
          <w:rStyle w:val="Strong"/>
          <w:i/>
          <w:iCs/>
        </w:rPr>
        <w:t xml:space="preserve">Message us on WhatsApp: </w:t>
      </w:r>
      <w:hyperlink r:id="rId7" w:history="1">
        <w:r w:rsidR="00D624FE">
          <w:rPr>
            <w:rStyle w:val="Hyperlink"/>
            <w:i/>
            <w:iCs/>
          </w:rPr>
          <w:t>+1 564-544-6924</w:t>
        </w:r>
      </w:hyperlink>
    </w:p>
    <w:p w:rsidR="00D624FE" w:rsidRDefault="00D624FE"/>
    <w:p w:rsidR="00DE5FEC" w:rsidRDefault="00E64470" w:rsidP="00D624FE">
      <w:pPr>
        <w:spacing w:after="120" w:line="480" w:lineRule="auto"/>
        <w:jc w:val="center"/>
      </w:pPr>
      <w:r>
        <w:rPr>
          <w:b/>
          <w:bCs/>
          <w:color w:val="0A1F3D"/>
        </w:rPr>
        <w:t>Community Teaching Work Plan Proposal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000"/>
      </w:tblGrid>
      <w:tr w:rsidR="00DE5FEC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shd w:val="clear" w:color="auto" w:fill="E8F1F2"/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r>
              <w:rPr>
                <w:b/>
                <w:bCs/>
                <w:color w:val="0A1F3D"/>
                <w:sz w:val="22"/>
                <w:szCs w:val="22"/>
              </w:rPr>
              <w:t>Teaching Topic</w:t>
            </w:r>
          </w:p>
        </w:tc>
        <w:tc>
          <w:tcPr>
            <w:tcW w:w="60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r>
              <w:rPr>
                <w:sz w:val="22"/>
                <w:szCs w:val="22"/>
              </w:rPr>
              <w:t>Type 2 Diabetes Prevention and Healthy Eating in Underserved Communities</w:t>
            </w:r>
          </w:p>
        </w:tc>
      </w:tr>
      <w:tr w:rsidR="00DE5FEC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shd w:val="clear" w:color="auto" w:fill="E8F1F2"/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r>
              <w:rPr>
                <w:b/>
                <w:bCs/>
                <w:color w:val="0A1F3D"/>
                <w:sz w:val="22"/>
                <w:szCs w:val="22"/>
              </w:rPr>
              <w:t>Focus Area</w:t>
            </w:r>
          </w:p>
        </w:tc>
        <w:tc>
          <w:tcPr>
            <w:tcW w:w="60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r>
              <w:rPr>
                <w:sz w:val="22"/>
                <w:szCs w:val="22"/>
              </w:rPr>
              <w:t>Primary Prevention / Health Promotion</w:t>
            </w:r>
          </w:p>
        </w:tc>
      </w:tr>
      <w:tr w:rsidR="00DE5FEC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shd w:val="clear" w:color="auto" w:fill="E8F1F2"/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r>
              <w:rPr>
                <w:b/>
                <w:bCs/>
                <w:color w:val="0A1F3D"/>
                <w:sz w:val="22"/>
                <w:szCs w:val="22"/>
              </w:rPr>
              <w:t>Target Population</w:t>
            </w:r>
          </w:p>
        </w:tc>
        <w:tc>
          <w:tcPr>
            <w:tcW w:w="60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r>
              <w:rPr>
                <w:sz w:val="22"/>
                <w:szCs w:val="22"/>
              </w:rPr>
              <w:t xml:space="preserve">Adults aged 25–65 in the eastern </w:t>
            </w:r>
            <w:proofErr w:type="spellStart"/>
            <w:r>
              <w:rPr>
                <w:sz w:val="22"/>
                <w:szCs w:val="22"/>
              </w:rPr>
              <w:t>neighborhoods</w:t>
            </w:r>
            <w:proofErr w:type="spellEnd"/>
            <w:r>
              <w:rPr>
                <w:sz w:val="22"/>
                <w:szCs w:val="22"/>
              </w:rPr>
              <w:t xml:space="preserve"> of Clearwater County, a food-desert area with a 38% adult obesity rate</w:t>
            </w:r>
          </w:p>
        </w:tc>
      </w:tr>
      <w:tr w:rsidR="00DE5FEC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shd w:val="clear" w:color="auto" w:fill="E8F1F2"/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r>
              <w:rPr>
                <w:b/>
                <w:bCs/>
                <w:color w:val="0A1F3D"/>
                <w:sz w:val="22"/>
                <w:szCs w:val="22"/>
              </w:rPr>
              <w:t>Setting</w:t>
            </w:r>
          </w:p>
        </w:tc>
        <w:tc>
          <w:tcPr>
            <w:tcW w:w="60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r>
              <w:rPr>
                <w:sz w:val="22"/>
                <w:szCs w:val="22"/>
              </w:rPr>
              <w:t xml:space="preserve">Clearwater Community Health </w:t>
            </w:r>
            <w:proofErr w:type="spellStart"/>
            <w:r>
              <w:rPr>
                <w:sz w:val="22"/>
                <w:szCs w:val="22"/>
              </w:rPr>
              <w:t>Center</w:t>
            </w:r>
            <w:proofErr w:type="spellEnd"/>
            <w:r>
              <w:rPr>
                <w:sz w:val="22"/>
                <w:szCs w:val="22"/>
              </w:rPr>
              <w:t>, multipurpose room</w:t>
            </w:r>
          </w:p>
        </w:tc>
      </w:tr>
      <w:tr w:rsidR="00DE5FEC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shd w:val="clear" w:color="auto" w:fill="E8F1F2"/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r>
              <w:rPr>
                <w:b/>
                <w:bCs/>
                <w:color w:val="0A1F3D"/>
                <w:sz w:val="22"/>
                <w:szCs w:val="22"/>
              </w:rPr>
              <w:t>Healthy People 2030 Objective</w:t>
            </w:r>
          </w:p>
        </w:tc>
        <w:tc>
          <w:tcPr>
            <w:tcW w:w="60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r>
              <w:rPr>
                <w:sz w:val="22"/>
                <w:szCs w:val="22"/>
              </w:rPr>
              <w:t>D-03: Reduce the proportion of adults with d</w:t>
            </w:r>
            <w:r>
              <w:rPr>
                <w:sz w:val="22"/>
                <w:szCs w:val="22"/>
              </w:rPr>
              <w:t>iabetes. Target: 10.0% of adults aged 18+ years</w:t>
            </w:r>
          </w:p>
        </w:tc>
      </w:tr>
      <w:tr w:rsidR="00DE5FEC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shd w:val="clear" w:color="auto" w:fill="E8F1F2"/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r>
              <w:rPr>
                <w:b/>
                <w:bCs/>
                <w:color w:val="0A1F3D"/>
                <w:sz w:val="22"/>
                <w:szCs w:val="22"/>
              </w:rPr>
              <w:t>Alma Ata Connection</w:t>
            </w:r>
          </w:p>
        </w:tc>
        <w:tc>
          <w:tcPr>
            <w:tcW w:w="60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r>
              <w:rPr>
                <w:sz w:val="22"/>
                <w:szCs w:val="22"/>
              </w:rPr>
              <w:t>Addresses Health for All by targeting health disparities in an underserved population through community-based primary prevention and nutrition education</w:t>
            </w:r>
          </w:p>
        </w:tc>
      </w:tr>
    </w:tbl>
    <w:p w:rsidR="00DE5FEC" w:rsidRDefault="00E64470">
      <w:pPr>
        <w:spacing w:before="200" w:after="60" w:line="480" w:lineRule="auto"/>
      </w:pPr>
      <w:proofErr w:type="spellStart"/>
      <w:r>
        <w:rPr>
          <w:b/>
          <w:bCs/>
          <w:color w:val="0A1F3D"/>
        </w:rPr>
        <w:t>Behavioral</w:t>
      </w:r>
      <w:proofErr w:type="spellEnd"/>
      <w:r>
        <w:rPr>
          <w:b/>
          <w:bCs/>
          <w:color w:val="0A1F3D"/>
        </w:rPr>
        <w:t xml:space="preserve"> Objectives, Content, and Strategies/Methods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3000"/>
        <w:gridCol w:w="3000"/>
      </w:tblGrid>
      <w:tr w:rsidR="00DE5FE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shd w:val="clear" w:color="auto" w:fill="0A1F3D"/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Behavioral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Objective and Domain</w:t>
            </w:r>
          </w:p>
        </w:tc>
        <w:tc>
          <w:tcPr>
            <w:tcW w:w="30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shd w:val="clear" w:color="auto" w:fill="0A1F3D"/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r>
              <w:rPr>
                <w:b/>
                <w:bCs/>
                <w:color w:val="FFFFFF"/>
                <w:sz w:val="20"/>
                <w:szCs w:val="20"/>
              </w:rPr>
              <w:t>Content to Be Taught</w:t>
            </w:r>
          </w:p>
        </w:tc>
        <w:tc>
          <w:tcPr>
            <w:tcW w:w="30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shd w:val="clear" w:color="auto" w:fill="0A1F3D"/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r>
              <w:rPr>
                <w:b/>
                <w:bCs/>
                <w:color w:val="FFFFFF"/>
                <w:sz w:val="20"/>
                <w:szCs w:val="20"/>
              </w:rPr>
              <w:t>Strategies / Methods</w:t>
            </w:r>
          </w:p>
        </w:tc>
      </w:tr>
      <w:tr w:rsidR="00DE5FEC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r>
              <w:rPr>
                <w:sz w:val="20"/>
                <w:szCs w:val="20"/>
              </w:rPr>
              <w:t>1. Participants will identify three modifiable risk factors for Type 2 diabetes by the end of the presentation. (Cognitive Dom</w:t>
            </w:r>
            <w:r>
              <w:rPr>
                <w:sz w:val="20"/>
                <w:szCs w:val="20"/>
              </w:rPr>
              <w:t>ain)</w:t>
            </w:r>
          </w:p>
        </w:tc>
        <w:tc>
          <w:tcPr>
            <w:tcW w:w="30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r>
              <w:rPr>
                <w:sz w:val="20"/>
                <w:szCs w:val="20"/>
              </w:rPr>
              <w:t>Modifiable risk factors include obesity, physical inactivity, and a diet high in processed foods and added sugars. The CDC reports that losing 5–7% of body weight reduces diabetes risk by 58%.</w:t>
            </w:r>
          </w:p>
        </w:tc>
        <w:tc>
          <w:tcPr>
            <w:tcW w:w="30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r>
              <w:rPr>
                <w:sz w:val="20"/>
                <w:szCs w:val="20"/>
              </w:rPr>
              <w:t>Interactive PowerPoint presentation with infographic handout. Facilitator-led discussion asking participants to name risk factors before revealing the data.</w:t>
            </w:r>
          </w:p>
        </w:tc>
      </w:tr>
      <w:tr w:rsidR="00DE5FEC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r>
              <w:rPr>
                <w:sz w:val="20"/>
                <w:szCs w:val="20"/>
              </w:rPr>
              <w:t xml:space="preserve">2. Participants will read and interpret a sample nutrition label, identifying total sugar and </w:t>
            </w:r>
            <w:proofErr w:type="spellStart"/>
            <w:r>
              <w:rPr>
                <w:sz w:val="20"/>
                <w:szCs w:val="20"/>
              </w:rPr>
              <w:t>fiber</w:t>
            </w:r>
            <w:proofErr w:type="spellEnd"/>
            <w:r>
              <w:rPr>
                <w:sz w:val="20"/>
                <w:szCs w:val="20"/>
              </w:rPr>
              <w:t xml:space="preserve"> content. (Cognitive Domain)</w:t>
            </w:r>
          </w:p>
        </w:tc>
        <w:tc>
          <w:tcPr>
            <w:tcW w:w="30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r>
              <w:rPr>
                <w:sz w:val="20"/>
                <w:szCs w:val="20"/>
              </w:rPr>
              <w:t xml:space="preserve">Reading a nutrition label: serving size, total carbohydrates, added sugars, and dietary </w:t>
            </w:r>
            <w:proofErr w:type="spellStart"/>
            <w:r>
              <w:rPr>
                <w:sz w:val="20"/>
                <w:szCs w:val="20"/>
              </w:rPr>
              <w:t>fiber</w:t>
            </w:r>
            <w:proofErr w:type="spellEnd"/>
            <w:r>
              <w:rPr>
                <w:sz w:val="20"/>
                <w:szCs w:val="20"/>
              </w:rPr>
              <w:t xml:space="preserve">. A healthy target is less than 25 </w:t>
            </w:r>
            <w:r>
              <w:rPr>
                <w:sz w:val="20"/>
                <w:szCs w:val="20"/>
              </w:rPr>
              <w:t xml:space="preserve">g added sugar per day and at least 25 g </w:t>
            </w:r>
            <w:proofErr w:type="spellStart"/>
            <w:r>
              <w:rPr>
                <w:sz w:val="20"/>
                <w:szCs w:val="20"/>
              </w:rPr>
              <w:t>fiber</w:t>
            </w:r>
            <w:proofErr w:type="spellEnd"/>
            <w:r>
              <w:rPr>
                <w:sz w:val="20"/>
                <w:szCs w:val="20"/>
              </w:rPr>
              <w:t xml:space="preserve"> per day.</w:t>
            </w:r>
          </w:p>
        </w:tc>
        <w:tc>
          <w:tcPr>
            <w:tcW w:w="30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r>
              <w:rPr>
                <w:sz w:val="20"/>
                <w:szCs w:val="20"/>
              </w:rPr>
              <w:t>Hands-on activity: each participant receives a sample food package and practices reading the label. Facilitator models the process on a projected label first.</w:t>
            </w:r>
          </w:p>
        </w:tc>
      </w:tr>
      <w:tr w:rsidR="00DE5FEC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r>
              <w:rPr>
                <w:sz w:val="20"/>
                <w:szCs w:val="20"/>
              </w:rPr>
              <w:t xml:space="preserve">3. Participants will demonstrate correct </w:t>
            </w:r>
            <w:r>
              <w:rPr>
                <w:sz w:val="20"/>
                <w:szCs w:val="20"/>
              </w:rPr>
              <w:t>portion sizing using the plate method by the end of the workshop. (Psychomotor Domain)</w:t>
            </w:r>
          </w:p>
        </w:tc>
        <w:tc>
          <w:tcPr>
            <w:tcW w:w="30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r>
              <w:rPr>
                <w:sz w:val="20"/>
                <w:szCs w:val="20"/>
              </w:rPr>
              <w:t>The plate method: half the plate non-starchy vegetables, one quarter lean protein, one quarter whole grains or starchy foods. Water or unsweetened beverage.</w:t>
            </w:r>
          </w:p>
        </w:tc>
        <w:tc>
          <w:tcPr>
            <w:tcW w:w="30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r>
              <w:rPr>
                <w:sz w:val="20"/>
                <w:szCs w:val="20"/>
              </w:rPr>
              <w:t>Live demonst</w:t>
            </w:r>
            <w:r>
              <w:rPr>
                <w:sz w:val="20"/>
                <w:szCs w:val="20"/>
              </w:rPr>
              <w:t>ration with real plates and food models. Participants build their own plate and receive feedback from the facilitator.</w:t>
            </w:r>
          </w:p>
        </w:tc>
      </w:tr>
      <w:tr w:rsidR="00DE5FEC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r>
              <w:rPr>
                <w:sz w:val="20"/>
                <w:szCs w:val="20"/>
              </w:rPr>
              <w:lastRenderedPageBreak/>
              <w:t>4. Participants will express at least one personal commitment to a dietary change they are willing to try this week. (Affective Domain)</w:t>
            </w:r>
          </w:p>
        </w:tc>
        <w:tc>
          <w:tcPr>
            <w:tcW w:w="30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proofErr w:type="spellStart"/>
            <w:r>
              <w:rPr>
                <w:sz w:val="20"/>
                <w:szCs w:val="20"/>
              </w:rPr>
              <w:t>Behavior</w:t>
            </w:r>
            <w:proofErr w:type="spellEnd"/>
            <w:r>
              <w:rPr>
                <w:sz w:val="20"/>
                <w:szCs w:val="20"/>
              </w:rPr>
              <w:t xml:space="preserve"> change begins with a personal, achievable commitment. Examples: replacing one sugary drink per day with water, adding a vegetable to dinner three nights this week.</w:t>
            </w:r>
          </w:p>
        </w:tc>
        <w:tc>
          <w:tcPr>
            <w:tcW w:w="30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r>
              <w:rPr>
                <w:sz w:val="20"/>
                <w:szCs w:val="20"/>
              </w:rPr>
              <w:t>Guided reflection: participants write one commitment on an index card and share wit</w:t>
            </w:r>
            <w:r>
              <w:rPr>
                <w:sz w:val="20"/>
                <w:szCs w:val="20"/>
              </w:rPr>
              <w:t>h a partner. Cards are collected for follow-up contact.</w:t>
            </w:r>
          </w:p>
        </w:tc>
      </w:tr>
    </w:tbl>
    <w:p w:rsidR="00DE5FEC" w:rsidRDefault="00E64470">
      <w:pPr>
        <w:spacing w:before="200" w:after="60" w:line="480" w:lineRule="auto"/>
      </w:pPr>
      <w:r>
        <w:rPr>
          <w:b/>
          <w:bCs/>
          <w:color w:val="0A1F3D"/>
        </w:rPr>
        <w:t>Creativity</w:t>
      </w:r>
    </w:p>
    <w:p w:rsidR="00DE5FEC" w:rsidRDefault="00E64470">
      <w:pPr>
        <w:spacing w:before="120" w:line="312" w:lineRule="auto"/>
      </w:pPr>
      <w:r>
        <w:rPr>
          <w:sz w:val="22"/>
          <w:szCs w:val="22"/>
        </w:rPr>
        <w:t>Creativity: The teaching plan incorporates multi-sensory learning strategies—visual (infographic and projected labels), tactile (food models and real plates), and reflective (commitment ca</w:t>
      </w:r>
      <w:r>
        <w:rPr>
          <w:sz w:val="22"/>
          <w:szCs w:val="22"/>
        </w:rPr>
        <w:t>rds and partner sharing)—to engage adult learners with diverse learning styles. The use of real food packages rather than textbook images increases relevance and retention for a population that shops at convenience stores.</w:t>
      </w:r>
    </w:p>
    <w:p w:rsidR="00DE5FEC" w:rsidRDefault="00E64470">
      <w:pPr>
        <w:spacing w:before="200" w:after="60" w:line="480" w:lineRule="auto"/>
      </w:pPr>
      <w:r>
        <w:rPr>
          <w:b/>
          <w:bCs/>
          <w:color w:val="0A1F3D"/>
        </w:rPr>
        <w:t>Planned Evaluation of Objectives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000"/>
      </w:tblGrid>
      <w:tr w:rsidR="00DE5FE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shd w:val="clear" w:color="auto" w:fill="0A1F3D"/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r>
              <w:rPr>
                <w:b/>
                <w:bCs/>
                <w:color w:val="FFFFFF"/>
                <w:sz w:val="20"/>
                <w:szCs w:val="20"/>
              </w:rPr>
              <w:t>Objective</w:t>
            </w:r>
          </w:p>
        </w:tc>
        <w:tc>
          <w:tcPr>
            <w:tcW w:w="60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shd w:val="clear" w:color="auto" w:fill="0A1F3D"/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r>
              <w:rPr>
                <w:b/>
                <w:bCs/>
                <w:color w:val="FFFFFF"/>
                <w:sz w:val="20"/>
                <w:szCs w:val="20"/>
              </w:rPr>
              <w:t>Evaluation Method</w:t>
            </w:r>
          </w:p>
        </w:tc>
      </w:tr>
      <w:tr w:rsidR="00DE5FEC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shd w:val="clear" w:color="auto" w:fill="E8F1F2"/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r>
              <w:rPr>
                <w:b/>
                <w:bCs/>
                <w:color w:val="0A1F3D"/>
                <w:sz w:val="20"/>
                <w:szCs w:val="20"/>
              </w:rPr>
              <w:t>1. Identify three risk factors (Cognitive)</w:t>
            </w:r>
          </w:p>
        </w:tc>
        <w:tc>
          <w:tcPr>
            <w:tcW w:w="60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r>
              <w:rPr>
                <w:sz w:val="20"/>
                <w:szCs w:val="20"/>
              </w:rPr>
              <w:t>Post-presentation quiz: participants list three modifiable risk factors. Success = 80% of participants name all three correctly.</w:t>
            </w:r>
          </w:p>
        </w:tc>
      </w:tr>
      <w:tr w:rsidR="00DE5FEC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shd w:val="clear" w:color="auto" w:fill="E8F1F2"/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r>
              <w:rPr>
                <w:b/>
                <w:bCs/>
                <w:color w:val="0A1F3D"/>
                <w:sz w:val="20"/>
                <w:szCs w:val="20"/>
              </w:rPr>
              <w:t>2. Read a nutrition label (Cognitive)</w:t>
            </w:r>
          </w:p>
        </w:tc>
        <w:tc>
          <w:tcPr>
            <w:tcW w:w="60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r>
              <w:rPr>
                <w:sz w:val="20"/>
                <w:szCs w:val="20"/>
              </w:rPr>
              <w:t xml:space="preserve">Return demonstration: participants read a new label and identify sugar and </w:t>
            </w:r>
            <w:proofErr w:type="spellStart"/>
            <w:r>
              <w:rPr>
                <w:sz w:val="20"/>
                <w:szCs w:val="20"/>
              </w:rPr>
              <w:t>fiber</w:t>
            </w:r>
            <w:proofErr w:type="spellEnd"/>
            <w:r>
              <w:rPr>
                <w:sz w:val="20"/>
                <w:szCs w:val="20"/>
              </w:rPr>
              <w:t>. Facilitator scores accuracy on a checklist.</w:t>
            </w:r>
          </w:p>
        </w:tc>
      </w:tr>
      <w:tr w:rsidR="00DE5FEC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shd w:val="clear" w:color="auto" w:fill="E8F1F2"/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r>
              <w:rPr>
                <w:b/>
                <w:bCs/>
                <w:color w:val="0A1F3D"/>
                <w:sz w:val="20"/>
                <w:szCs w:val="20"/>
              </w:rPr>
              <w:t>3. Demonstrate plate method (Psychomotor)</w:t>
            </w:r>
          </w:p>
        </w:tc>
        <w:tc>
          <w:tcPr>
            <w:tcW w:w="60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r>
              <w:rPr>
                <w:sz w:val="20"/>
                <w:szCs w:val="20"/>
              </w:rPr>
              <w:t>Observation checklist: facilitator assesses each participant’s plate for correct propor</w:t>
            </w:r>
            <w:r>
              <w:rPr>
                <w:sz w:val="20"/>
                <w:szCs w:val="20"/>
              </w:rPr>
              <w:t>tions.</w:t>
            </w:r>
          </w:p>
        </w:tc>
      </w:tr>
      <w:tr w:rsidR="00DE5FEC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shd w:val="clear" w:color="auto" w:fill="E8F1F2"/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r>
              <w:rPr>
                <w:b/>
                <w:bCs/>
                <w:color w:val="0A1F3D"/>
                <w:sz w:val="20"/>
                <w:szCs w:val="20"/>
              </w:rPr>
              <w:t>4. Express a dietary commitment (Affective)</w:t>
            </w:r>
          </w:p>
        </w:tc>
        <w:tc>
          <w:tcPr>
            <w:tcW w:w="6000" w:type="dxa"/>
            <w:tcBorders>
              <w:top w:val="single" w:sz="4" w:space="0" w:color="B7C4CC"/>
              <w:left w:val="single" w:sz="4" w:space="0" w:color="B7C4CC"/>
              <w:bottom w:val="single" w:sz="4" w:space="0" w:color="B7C4CC"/>
              <w:right w:val="single" w:sz="4" w:space="0" w:color="B7C4CC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DE5FEC" w:rsidRDefault="00E64470">
            <w:pPr>
              <w:spacing w:line="276" w:lineRule="auto"/>
            </w:pPr>
            <w:r>
              <w:rPr>
                <w:sz w:val="20"/>
                <w:szCs w:val="20"/>
              </w:rPr>
              <w:t>Commitment card review: 100% of participants complete a card with at least one specific, achievable change.</w:t>
            </w:r>
          </w:p>
        </w:tc>
      </w:tr>
    </w:tbl>
    <w:p w:rsidR="00DE5FEC" w:rsidRDefault="00E64470">
      <w:r>
        <w:br w:type="page"/>
      </w:r>
    </w:p>
    <w:p w:rsidR="00DE5FEC" w:rsidRDefault="00DE5FEC">
      <w:pPr>
        <w:pBdr>
          <w:top w:val="single" w:sz="6" w:space="6" w:color="999999"/>
        </w:pBdr>
        <w:spacing w:before="120"/>
      </w:pPr>
    </w:p>
    <w:p w:rsidR="00DE5FEC" w:rsidRDefault="00DE5FEC" w:rsidP="00832055">
      <w:pPr>
        <w:spacing w:before="120" w:line="276" w:lineRule="auto"/>
      </w:pPr>
    </w:p>
    <w:sectPr w:rsidR="00DE5FEC">
      <w:headerReference w:type="default" r:id="rId8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470" w:rsidRDefault="00E64470">
      <w:r>
        <w:separator/>
      </w:r>
    </w:p>
  </w:endnote>
  <w:endnote w:type="continuationSeparator" w:id="0">
    <w:p w:rsidR="00E64470" w:rsidRDefault="00E6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470" w:rsidRDefault="00E64470">
      <w:r>
        <w:separator/>
      </w:r>
    </w:p>
  </w:footnote>
  <w:footnote w:type="continuationSeparator" w:id="0">
    <w:p w:rsidR="00E64470" w:rsidRDefault="00E64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FEC" w:rsidRDefault="00E64470">
    <w:pPr>
      <w:jc w:val="right"/>
    </w:pPr>
    <w:r>
      <w:fldChar w:fldCharType="begin"/>
    </w:r>
    <w:r>
      <w:instrText>PAGE</w:instrText>
    </w:r>
    <w:r w:rsidR="00832055">
      <w:fldChar w:fldCharType="separate"/>
    </w:r>
    <w:r w:rsidR="00D624FE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A46BF"/>
    <w:multiLevelType w:val="hybridMultilevel"/>
    <w:tmpl w:val="B3126760"/>
    <w:lvl w:ilvl="0" w:tplc="2B0A983A">
      <w:start w:val="1"/>
      <w:numFmt w:val="bullet"/>
      <w:lvlText w:val="●"/>
      <w:lvlJc w:val="left"/>
      <w:pPr>
        <w:ind w:left="720" w:hanging="360"/>
      </w:pPr>
    </w:lvl>
    <w:lvl w:ilvl="1" w:tplc="91B40F58">
      <w:start w:val="1"/>
      <w:numFmt w:val="bullet"/>
      <w:lvlText w:val="○"/>
      <w:lvlJc w:val="left"/>
      <w:pPr>
        <w:ind w:left="1440" w:hanging="360"/>
      </w:pPr>
    </w:lvl>
    <w:lvl w:ilvl="2" w:tplc="FF9EF8F6">
      <w:start w:val="1"/>
      <w:numFmt w:val="bullet"/>
      <w:lvlText w:val="■"/>
      <w:lvlJc w:val="left"/>
      <w:pPr>
        <w:ind w:left="2160" w:hanging="360"/>
      </w:pPr>
    </w:lvl>
    <w:lvl w:ilvl="3" w:tplc="B98CA7E8">
      <w:start w:val="1"/>
      <w:numFmt w:val="bullet"/>
      <w:lvlText w:val="●"/>
      <w:lvlJc w:val="left"/>
      <w:pPr>
        <w:ind w:left="2880" w:hanging="360"/>
      </w:pPr>
    </w:lvl>
    <w:lvl w:ilvl="4" w:tplc="D974D21E">
      <w:start w:val="1"/>
      <w:numFmt w:val="bullet"/>
      <w:lvlText w:val="○"/>
      <w:lvlJc w:val="left"/>
      <w:pPr>
        <w:ind w:left="3600" w:hanging="360"/>
      </w:pPr>
    </w:lvl>
    <w:lvl w:ilvl="5" w:tplc="5BCE81D4">
      <w:start w:val="1"/>
      <w:numFmt w:val="bullet"/>
      <w:lvlText w:val="■"/>
      <w:lvlJc w:val="left"/>
      <w:pPr>
        <w:ind w:left="4320" w:hanging="360"/>
      </w:pPr>
    </w:lvl>
    <w:lvl w:ilvl="6" w:tplc="0A2A3E3C">
      <w:start w:val="1"/>
      <w:numFmt w:val="bullet"/>
      <w:lvlText w:val="●"/>
      <w:lvlJc w:val="left"/>
      <w:pPr>
        <w:ind w:left="5040" w:hanging="360"/>
      </w:pPr>
    </w:lvl>
    <w:lvl w:ilvl="7" w:tplc="CF8CC9C0">
      <w:start w:val="1"/>
      <w:numFmt w:val="bullet"/>
      <w:lvlText w:val="●"/>
      <w:lvlJc w:val="left"/>
      <w:pPr>
        <w:ind w:left="5760" w:hanging="360"/>
      </w:pPr>
    </w:lvl>
    <w:lvl w:ilvl="8" w:tplc="67A6B5C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EC"/>
    <w:rsid w:val="00832055"/>
    <w:rsid w:val="00D624FE"/>
    <w:rsid w:val="00DE5FEC"/>
    <w:rsid w:val="00E6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DF353"/>
  <w15:docId w15:val="{F80E2F19-985C-456B-AA8D-FED83699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D624FE"/>
    <w:rPr>
      <w:i/>
      <w:iCs/>
    </w:rPr>
  </w:style>
  <w:style w:type="character" w:styleId="Strong">
    <w:name w:val="Strong"/>
    <w:basedOn w:val="DefaultParagraphFont"/>
    <w:uiPriority w:val="22"/>
    <w:qFormat/>
    <w:rsid w:val="00D624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a.me/15645446924?text=Hi%2C%20I%20need%20a%20custom%20NRS-425%20Community%20Teaching%20Plan%20completed%20for%20my%20community%20and%20topic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658</Words>
  <Characters>3756</Characters>
  <Application>Microsoft Office Word</Application>
  <DocSecurity>0</DocSecurity>
  <Lines>31</Lines>
  <Paragraphs>8</Paragraphs>
  <ScaleCrop>false</ScaleCrop>
  <Company>HP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HP SPECTRE</cp:lastModifiedBy>
  <cp:revision>3</cp:revision>
  <dcterms:created xsi:type="dcterms:W3CDTF">2026-06-20T03:10:00Z</dcterms:created>
  <dcterms:modified xsi:type="dcterms:W3CDTF">2026-06-20T03:28:00Z</dcterms:modified>
</cp:coreProperties>
</file>