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4D7" w:rsidRDefault="00E554D7">
      <w:pPr>
        <w:spacing w:line="480" w:lineRule="auto"/>
        <w:jc w:val="center"/>
      </w:pPr>
    </w:p>
    <w:p w:rsidR="00E554D7" w:rsidRDefault="00E554D7">
      <w:pPr>
        <w:spacing w:line="480" w:lineRule="auto"/>
        <w:jc w:val="center"/>
      </w:pPr>
    </w:p>
    <w:p w:rsidR="00E554D7" w:rsidRDefault="00E554D7">
      <w:pPr>
        <w:spacing w:line="480" w:lineRule="auto"/>
        <w:jc w:val="center"/>
      </w:pPr>
    </w:p>
    <w:p w:rsidR="00E554D7" w:rsidRDefault="003F3A3C">
      <w:pPr>
        <w:spacing w:line="480" w:lineRule="auto"/>
        <w:jc w:val="center"/>
      </w:pPr>
      <w:r>
        <w:rPr>
          <w:b/>
          <w:bCs/>
        </w:rPr>
        <w:t>Benchmark — Community Teaching Project: Part 1</w:t>
      </w:r>
    </w:p>
    <w:p w:rsidR="00E554D7" w:rsidRDefault="003F3A3C">
      <w:pPr>
        <w:spacing w:line="480" w:lineRule="auto"/>
        <w:jc w:val="center"/>
      </w:pPr>
      <w:r>
        <w:t>Epidemiology and Community Health</w:t>
      </w:r>
    </w:p>
    <w:p w:rsidR="00E554D7" w:rsidRDefault="00E554D7">
      <w:pPr>
        <w:spacing w:line="480" w:lineRule="auto"/>
        <w:jc w:val="center"/>
      </w:pPr>
    </w:p>
    <w:p w:rsidR="00E554D7" w:rsidRDefault="003F3A3C">
      <w:pPr>
        <w:spacing w:line="480" w:lineRule="auto"/>
        <w:jc w:val="center"/>
      </w:pPr>
      <w:r>
        <w:t>[Student Name]</w:t>
      </w:r>
    </w:p>
    <w:p w:rsidR="00E554D7" w:rsidRDefault="003F3A3C">
      <w:pPr>
        <w:spacing w:line="480" w:lineRule="auto"/>
        <w:jc w:val="center"/>
      </w:pPr>
      <w:r>
        <w:t>College of Nursing and Health Care Professions, Grand Canyon University</w:t>
      </w:r>
    </w:p>
    <w:p w:rsidR="00E554D7" w:rsidRDefault="003F3A3C">
      <w:pPr>
        <w:spacing w:line="480" w:lineRule="auto"/>
        <w:jc w:val="center"/>
      </w:pPr>
      <w:r>
        <w:t>NRS-425: Health Promotion and Population Health</w:t>
      </w:r>
    </w:p>
    <w:p w:rsidR="00E554D7" w:rsidRDefault="003F3A3C">
      <w:pPr>
        <w:spacing w:line="480" w:lineRule="auto"/>
        <w:jc w:val="center"/>
      </w:pPr>
      <w:r>
        <w:t>[Instructor Name]</w:t>
      </w:r>
    </w:p>
    <w:p w:rsidR="00E554D7" w:rsidRDefault="003F3A3C">
      <w:pPr>
        <w:spacing w:line="480" w:lineRule="auto"/>
        <w:jc w:val="center"/>
      </w:pPr>
      <w:r>
        <w:t>[Due Date]</w:t>
      </w:r>
    </w:p>
    <w:p w:rsidR="007A5356" w:rsidRPr="007A5356" w:rsidRDefault="003F3A3C" w:rsidP="007A5356">
      <w:pPr>
        <w:spacing w:before="120" w:line="276" w:lineRule="auto"/>
        <w:rPr>
          <w:i/>
        </w:rPr>
      </w:pPr>
      <w:r>
        <w:br w:type="page"/>
      </w:r>
      <w:r w:rsidR="007A5356" w:rsidRPr="007A5356">
        <w:rPr>
          <w:b/>
          <w:bCs/>
          <w:i/>
          <w:color w:val="0A1F3D"/>
        </w:rPr>
        <w:lastRenderedPageBreak/>
        <w:t>For Reference Use Only</w:t>
      </w:r>
      <w:r w:rsidR="007A5356" w:rsidRPr="007A5356">
        <w:rPr>
          <w:i/>
        </w:rPr>
        <w:t xml:space="preserve">: </w:t>
      </w:r>
      <w:r w:rsidR="007A5356" w:rsidRPr="007A5356">
        <w:rPr>
          <w:i/>
          <w:sz w:val="22"/>
          <w:szCs w:val="22"/>
        </w:rPr>
        <w:t>This worked sample uses a fictitious community for demonstration purposes. Need a custom epidemiology and public</w:t>
      </w:r>
      <w:bookmarkStart w:id="0" w:name="_GoBack"/>
      <w:bookmarkEnd w:id="0"/>
      <w:r w:rsidR="007A5356" w:rsidRPr="007A5356">
        <w:rPr>
          <w:i/>
          <w:sz w:val="22"/>
          <w:szCs w:val="22"/>
        </w:rPr>
        <w:t xml:space="preserve"> health paper completed for your specific community and health issue? Reach out to us on WhatsApp for a fast response.</w:t>
      </w:r>
      <w:r w:rsidR="007A5356" w:rsidRPr="007A5356">
        <w:rPr>
          <w:i/>
        </w:rPr>
        <w:t xml:space="preserve"> </w:t>
      </w:r>
      <w:r w:rsidR="007A5356" w:rsidRPr="007A5356">
        <w:rPr>
          <w:b/>
          <w:bCs/>
          <w:i/>
          <w:color w:val="1F8A4C"/>
          <w:sz w:val="22"/>
          <w:szCs w:val="22"/>
        </w:rPr>
        <w:t xml:space="preserve">Message us on WhatsApp: </w:t>
      </w:r>
      <w:hyperlink r:id="rId7" w:history="1">
        <w:r w:rsidR="007A5356" w:rsidRPr="007A5356">
          <w:rPr>
            <w:rStyle w:val="Hyperlink"/>
            <w:i/>
          </w:rPr>
          <w:t>+1 564-544-6924</w:t>
        </w:r>
      </w:hyperlink>
    </w:p>
    <w:p w:rsidR="00E554D7" w:rsidRDefault="00E554D7"/>
    <w:p w:rsidR="00E554D7" w:rsidRDefault="003F3A3C">
      <w:pPr>
        <w:spacing w:line="480" w:lineRule="auto"/>
        <w:jc w:val="center"/>
      </w:pPr>
      <w:r>
        <w:rPr>
          <w:b/>
          <w:bCs/>
        </w:rPr>
        <w:t>Epidemiology and Community Health: Type 2 Diabetes in Clearwater County</w:t>
      </w:r>
    </w:p>
    <w:p w:rsidR="00E554D7" w:rsidRDefault="003F3A3C">
      <w:pPr>
        <w:spacing w:before="120" w:line="480" w:lineRule="auto"/>
      </w:pPr>
      <w:r>
        <w:rPr>
          <w:b/>
          <w:bCs/>
          <w:i/>
          <w:iCs/>
        </w:rPr>
        <w:t>Public Health Issue and Community Impact</w:t>
      </w:r>
    </w:p>
    <w:p w:rsidR="00E554D7" w:rsidRDefault="003F3A3C">
      <w:pPr>
        <w:spacing w:line="480" w:lineRule="auto"/>
        <w:ind w:firstLine="720"/>
      </w:pPr>
      <w:r>
        <w:t>Type 2 diabetes is a chronic metabolic disease characterized by insulin resistance and elevated blood glucose levels, and it represents the pri</w:t>
      </w:r>
      <w:r>
        <w:t>ority public health issue for Clearwater County. According to the County Health Rankings, 38% of adults in Clearwater County are obese and 31% are physically inactive, both well above state averages of 32% and 26%, respectively. The Centers for Disease Con</w:t>
      </w:r>
      <w:r>
        <w:t>trol and Prevention reports that more than 37 million Americans have diabetes, with Type 2 accounting for 90–95% of all cases, and the disease disproportionately affects communities with limited access to healthy food and preventive care (CDC, 2023). In Cl</w:t>
      </w:r>
      <w:r>
        <w:t>earwater County, the eastern neighborhoods lack a full-service grocery store within a two-mile radius, creating a food desert that compounds the risk. Key modifiable risk factors include obesity, physical inactivity, poor nutrition, and socioeconomic barri</w:t>
      </w:r>
      <w:r>
        <w:t>ers to health care access. The annual cost of diagnosed diabetes in the United States exceeds $327 billion, and the human cost—kidney failure, lower-limb amputation, blindness, and cardiovascular disease—falls heaviest on underserved populations.</w:t>
      </w:r>
    </w:p>
    <w:p w:rsidR="00E554D7" w:rsidRDefault="003F3A3C">
      <w:pPr>
        <w:spacing w:before="120" w:line="480" w:lineRule="auto"/>
      </w:pPr>
      <w:r>
        <w:rPr>
          <w:b/>
          <w:bCs/>
          <w:i/>
          <w:iCs/>
        </w:rPr>
        <w:t>Preventio</w:t>
      </w:r>
      <w:r>
        <w:rPr>
          <w:b/>
          <w:bCs/>
          <w:i/>
          <w:iCs/>
        </w:rPr>
        <w:t>n Through Epidemiology</w:t>
      </w:r>
    </w:p>
    <w:p w:rsidR="00E554D7" w:rsidRDefault="003F3A3C">
      <w:pPr>
        <w:spacing w:line="480" w:lineRule="auto"/>
        <w:ind w:firstLine="720"/>
      </w:pPr>
      <w:r>
        <w:t xml:space="preserve">Epidemiology provides the conceptual tools to understand and prevent Type 2 diabetes at the population level. The epidemiologic triangle—agent, host, and environment—can be adapted to chronic disease: the agent is the combination of </w:t>
      </w:r>
      <w:r>
        <w:t xml:space="preserve">excess caloric intake and sedentary behavior; the host factors include genetic predisposition, age, and obesity; and the environment encompasses food deserts, lack of safe walking spaces, and limited health literacy. Primary </w:t>
      </w:r>
      <w:r>
        <w:lastRenderedPageBreak/>
        <w:t>prevention targets these modifi</w:t>
      </w:r>
      <w:r>
        <w:t xml:space="preserve">able factors before disease onset through community education on nutrition and physical activity, school-based wellness programs, and policy changes that increase access to healthy food. The CDC’s National Diabetes Prevention Program has demonstrated that </w:t>
      </w:r>
      <w:r>
        <w:t xml:space="preserve">structured lifestyle interventions reducing body weight by 5–7% can lower the risk of developing Type 2 diabetes by 58% (CDC, 2023). Secondary prevention focuses on early detection through screening programs, such as A1C testing at community health fairs, </w:t>
      </w:r>
      <w:r>
        <w:t>to identify prediabetes before it progresses. Tertiary prevention supports disease management for those already diagnosed, reducing complications through medication adherence, self-monitoring, and ongoing education.</w:t>
      </w:r>
    </w:p>
    <w:p w:rsidR="00E554D7" w:rsidRDefault="003F3A3C">
      <w:pPr>
        <w:spacing w:before="120" w:line="480" w:lineRule="auto"/>
      </w:pPr>
      <w:r>
        <w:rPr>
          <w:b/>
          <w:bCs/>
          <w:i/>
          <w:iCs/>
        </w:rPr>
        <w:t>Current Policy and Population Outcomes</w:t>
      </w:r>
    </w:p>
    <w:p w:rsidR="00E554D7" w:rsidRDefault="003F3A3C">
      <w:pPr>
        <w:spacing w:line="480" w:lineRule="auto"/>
        <w:ind w:firstLine="720"/>
      </w:pPr>
      <w:r>
        <w:t>T</w:t>
      </w:r>
      <w:r>
        <w:t>he Supplemental Nutrition Assistance Program, commonly known as SNAP, is the primary federal policy that addresses food access for low-income populations. SNAP provides monthly benefits that eligible households can use to purchase food at authorized retail</w:t>
      </w:r>
      <w:r>
        <w:t>ers. The program serves approximately 42 million Americans and has been shown to reduce food insecurity and improve dietary intake among participants (Mozaffarian et al., 2022). However, SNAP benefits can be used to purchase any food item, including sugar-</w:t>
      </w:r>
      <w:r>
        <w:t>sweetened beverages and highly processed foods, which limits the program’s effectiveness as a diabetes-prevention tool. In Clearwater County, SNAP participation is high in the eastern neighborhoods, but the absence of a full-service grocery store means tha</w:t>
      </w:r>
      <w:r>
        <w:t>t benefits are often spent at convenience stores where healthy options are limited and more expensive. From a social justice and health equity perspective, the current policy structure inadvertently perpetuates dietary disparities: residents receive food a</w:t>
      </w:r>
      <w:r>
        <w:t>ssistance but lack the infrastructure to convert it into healthy meals.</w:t>
      </w:r>
    </w:p>
    <w:p w:rsidR="00E554D7" w:rsidRDefault="003F3A3C">
      <w:pPr>
        <w:spacing w:before="120" w:line="480" w:lineRule="auto"/>
      </w:pPr>
      <w:r>
        <w:rPr>
          <w:b/>
          <w:bCs/>
          <w:i/>
          <w:iCs/>
        </w:rPr>
        <w:t>Proposed Policy Change</w:t>
      </w:r>
    </w:p>
    <w:p w:rsidR="00E554D7" w:rsidRDefault="003F3A3C">
      <w:pPr>
        <w:spacing w:line="480" w:lineRule="auto"/>
        <w:ind w:firstLine="720"/>
      </w:pPr>
      <w:r>
        <w:lastRenderedPageBreak/>
        <w:t>The proposed policy change is to expand the SNAP Healthy Incentives Pilot model to Clearwater County. Under this model, SNAP participants receive a dollar-for-do</w:t>
      </w:r>
      <w:r>
        <w:t>llar match on purchases of fruits, vegetables, and whole grains at authorized farmers’ markets and participating grocery stores. A randomized controlled trial of the Healthy Incentives Pilot in Massachusetts demonstrated a 26% increase in fruit and vegetab</w:t>
      </w:r>
      <w:r>
        <w:t>le consumption among participants compared to the control group (Mozaffarian et al., 2022). Implementing this incentive structure in Clearwater County would simultaneously increase demand for healthy food and create economic incentive for grocery retailers</w:t>
      </w:r>
      <w:r>
        <w:t xml:space="preserve"> to establish or expand operations in the eastern food desert. The change should be paired with a mobile produce market that brings fresh food directly into underserved neighborhoods on a weekly schedule, addressing the last-mile access barrier that policy</w:t>
      </w:r>
      <w:r>
        <w:t xml:space="preserve"> alone cannot solve.</w:t>
      </w:r>
    </w:p>
    <w:p w:rsidR="00E554D7" w:rsidRDefault="003F3A3C">
      <w:pPr>
        <w:spacing w:before="120" w:line="480" w:lineRule="auto"/>
      </w:pPr>
      <w:r>
        <w:rPr>
          <w:b/>
          <w:bCs/>
          <w:i/>
          <w:iCs/>
        </w:rPr>
        <w:t>Steps to Initiate Policy Change</w:t>
      </w:r>
    </w:p>
    <w:p w:rsidR="00E554D7" w:rsidRDefault="003F3A3C">
      <w:pPr>
        <w:spacing w:line="480" w:lineRule="auto"/>
        <w:ind w:firstLine="720"/>
      </w:pPr>
      <w:r>
        <w:t>Initiating this policy change requires a multi-step advocacy process. First, the community health nurse compiles local data from the County Health Rankings, the Environmental Justice Dashboard, and the w</w:t>
      </w:r>
      <w:r>
        <w:t>indshield survey to build an evidence-based case for the intervention. Second, a formal proposal is presented to the county health department and the local SNAP administrative office, demonstrating both the health need and the cost-effectiveness of the inc</w:t>
      </w:r>
      <w:r>
        <w:t>entive model. Third, a coalition of community stakeholders—including the community health center, local churches, school nutrition programs, and resident advocacy groups—is assembled to demonstrate broad support. Fourth, the proposal is submitted to the st</w:t>
      </w:r>
      <w:r>
        <w:t>ate legislature or the USDA Food and Nutrition Service for pilot-program authorization. Finally, an evaluation plan is established to measure fruit and vegetable consumption, A1C levels, and food-desert access metrics before and after implementation.</w:t>
      </w:r>
    </w:p>
    <w:p w:rsidR="00E554D7" w:rsidRDefault="003F3A3C">
      <w:pPr>
        <w:spacing w:before="120" w:line="480" w:lineRule="auto"/>
      </w:pPr>
      <w:r>
        <w:rPr>
          <w:b/>
          <w:bCs/>
          <w:i/>
          <w:iCs/>
        </w:rPr>
        <w:lastRenderedPageBreak/>
        <w:t>Key S</w:t>
      </w:r>
      <w:r>
        <w:rPr>
          <w:b/>
          <w:bCs/>
          <w:i/>
          <w:iCs/>
        </w:rPr>
        <w:t>takeholders</w:t>
      </w:r>
    </w:p>
    <w:p w:rsidR="00E554D7" w:rsidRDefault="003F3A3C">
      <w:pPr>
        <w:spacing w:line="480" w:lineRule="auto"/>
        <w:ind w:firstLine="720"/>
      </w:pPr>
      <w:r>
        <w:t>Several stakeholders are essential to this policy change, each with a distinct level of influence. The county health department director has the authority to prioritize the initiative within public health programming and allocate local resource</w:t>
      </w:r>
      <w:r>
        <w:t>s. The state legislator representing Clearwater County can introduce or sponsor enabling legislation and secure state matching funds. The USDA Food and Nutrition Service holds the federal authority to approve SNAP pilot expansions and set program guideline</w:t>
      </w:r>
      <w:r>
        <w:t xml:space="preserve">s. The Clearwater Community Health Center serves as the implementation partner, providing screening, education, and data collection. Local faith-based organizations and community advocacy groups provide grassroots support, mobilize resident participation, </w:t>
      </w:r>
      <w:r>
        <w:t>and lend political credibility to the proposal. Finally, local grocery retailers and farmers’ market operators are the commercial partners whose participation determines whether the incentive model is practically viable.</w:t>
      </w:r>
    </w:p>
    <w:p w:rsidR="00E554D7" w:rsidRDefault="003F3A3C">
      <w:r>
        <w:br w:type="page"/>
      </w:r>
    </w:p>
    <w:p w:rsidR="00E554D7" w:rsidRDefault="003F3A3C">
      <w:pPr>
        <w:spacing w:line="480" w:lineRule="auto"/>
        <w:jc w:val="center"/>
      </w:pPr>
      <w:r>
        <w:rPr>
          <w:b/>
          <w:bCs/>
        </w:rPr>
        <w:lastRenderedPageBreak/>
        <w:t>References</w:t>
      </w:r>
    </w:p>
    <w:p w:rsidR="00E554D7" w:rsidRDefault="003F3A3C">
      <w:pPr>
        <w:spacing w:line="480" w:lineRule="auto"/>
        <w:ind w:left="720" w:hanging="720"/>
      </w:pPr>
      <w:r>
        <w:t xml:space="preserve">Centers for Disease Control and Prevention. (2023). </w:t>
      </w:r>
      <w:r>
        <w:rPr>
          <w:i/>
          <w:iCs/>
        </w:rPr>
        <w:t xml:space="preserve">National diabetes statistics report. </w:t>
      </w:r>
      <w:hyperlink r:id="rId8" w:history="1">
        <w:r>
          <w:rPr>
            <w:rStyle w:val="Hyperlink"/>
          </w:rPr>
          <w:t>https://www.cdc.gov/diabetes/data/statistics-report</w:t>
        </w:r>
      </w:hyperlink>
    </w:p>
    <w:p w:rsidR="00E554D7" w:rsidRDefault="003F3A3C">
      <w:pPr>
        <w:spacing w:line="480" w:lineRule="auto"/>
        <w:ind w:left="720" w:hanging="720"/>
      </w:pPr>
      <w:r>
        <w:t>Mozaffarian, D., Liu, J., Sy, S., Huang, Y., Re</w:t>
      </w:r>
      <w:r>
        <w:t>hm, C., Lee, Y., Wilde, P., Abrahams-Gessel, S., de Souza Veiga Jardim, T., Gaziano, T., &amp; Micha, R. (2022). Cost-effectiveness of financial incentives and disincentives for improving food purchases and health through the US Supplemental Nutrition Assistan</w:t>
      </w:r>
      <w:r>
        <w:t xml:space="preserve">ce Program: A microsimulation study. </w:t>
      </w:r>
      <w:r>
        <w:rPr>
          <w:i/>
          <w:iCs/>
        </w:rPr>
        <w:t>PLOS Medicine, 19</w:t>
      </w:r>
      <w:r>
        <w:t xml:space="preserve">(10), e1004112. </w:t>
      </w:r>
      <w:hyperlink r:id="rId9" w:history="1">
        <w:r>
          <w:rPr>
            <w:rStyle w:val="Hyperlink"/>
          </w:rPr>
          <w:t>https://doi.org/10.1371/journal.pmed.1004112</w:t>
        </w:r>
      </w:hyperlink>
    </w:p>
    <w:p w:rsidR="00E554D7" w:rsidRDefault="003F3A3C" w:rsidP="007A5356">
      <w:pPr>
        <w:spacing w:line="480" w:lineRule="auto"/>
        <w:ind w:left="720" w:hanging="720"/>
      </w:pPr>
      <w:r>
        <w:t xml:space="preserve">Seligman, H. K., Lyles, C., Marshall, M. B., Prendergast, K., Smith, M. C., Headings, A., Bradshaw, G., Rosenmoss, S., &amp; Waxman, E. (2023). A pilot food bank intervention featuring diabetes-appropriate food improved glycemic control among clients in three </w:t>
      </w:r>
      <w:r>
        <w:t xml:space="preserve">states. </w:t>
      </w:r>
      <w:r>
        <w:rPr>
          <w:i/>
          <w:iCs/>
        </w:rPr>
        <w:t>Health Affairs, 42</w:t>
      </w:r>
      <w:r>
        <w:t xml:space="preserve">(10), 1349–1359. </w:t>
      </w:r>
      <w:hyperlink r:id="rId10" w:history="1">
        <w:r>
          <w:rPr>
            <w:rStyle w:val="Hyperlink"/>
          </w:rPr>
          <w:t>https://doi.org/10.1377/hlthaff.2022.01369</w:t>
        </w:r>
      </w:hyperlink>
    </w:p>
    <w:sectPr w:rsidR="00E554D7">
      <w:headerReference w:type="defaul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A3C" w:rsidRDefault="003F3A3C">
      <w:r>
        <w:separator/>
      </w:r>
    </w:p>
  </w:endnote>
  <w:endnote w:type="continuationSeparator" w:id="0">
    <w:p w:rsidR="003F3A3C" w:rsidRDefault="003F3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A3C" w:rsidRDefault="003F3A3C">
      <w:r>
        <w:separator/>
      </w:r>
    </w:p>
  </w:footnote>
  <w:footnote w:type="continuationSeparator" w:id="0">
    <w:p w:rsidR="003F3A3C" w:rsidRDefault="003F3A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4D7" w:rsidRDefault="003F3A3C">
    <w:pPr>
      <w:jc w:val="right"/>
    </w:pPr>
    <w:r>
      <w:fldChar w:fldCharType="begin"/>
    </w:r>
    <w:r>
      <w:instrText>PAGE</w:instrText>
    </w:r>
    <w:r w:rsidR="007A5356">
      <w:fldChar w:fldCharType="separate"/>
    </w:r>
    <w:r w:rsidR="007A5356">
      <w:rPr>
        <w:noProof/>
      </w:rP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3C5B1D"/>
    <w:multiLevelType w:val="hybridMultilevel"/>
    <w:tmpl w:val="84DC5B90"/>
    <w:lvl w:ilvl="0" w:tplc="31B68648">
      <w:start w:val="1"/>
      <w:numFmt w:val="bullet"/>
      <w:lvlText w:val="●"/>
      <w:lvlJc w:val="left"/>
      <w:pPr>
        <w:ind w:left="720" w:hanging="360"/>
      </w:pPr>
    </w:lvl>
    <w:lvl w:ilvl="1" w:tplc="113A57D6">
      <w:start w:val="1"/>
      <w:numFmt w:val="bullet"/>
      <w:lvlText w:val="○"/>
      <w:lvlJc w:val="left"/>
      <w:pPr>
        <w:ind w:left="1440" w:hanging="360"/>
      </w:pPr>
    </w:lvl>
    <w:lvl w:ilvl="2" w:tplc="3D868ED2">
      <w:start w:val="1"/>
      <w:numFmt w:val="bullet"/>
      <w:lvlText w:val="■"/>
      <w:lvlJc w:val="left"/>
      <w:pPr>
        <w:ind w:left="2160" w:hanging="360"/>
      </w:pPr>
    </w:lvl>
    <w:lvl w:ilvl="3" w:tplc="9AD6A332">
      <w:start w:val="1"/>
      <w:numFmt w:val="bullet"/>
      <w:lvlText w:val="●"/>
      <w:lvlJc w:val="left"/>
      <w:pPr>
        <w:ind w:left="2880" w:hanging="360"/>
      </w:pPr>
    </w:lvl>
    <w:lvl w:ilvl="4" w:tplc="665EA0F6">
      <w:start w:val="1"/>
      <w:numFmt w:val="bullet"/>
      <w:lvlText w:val="○"/>
      <w:lvlJc w:val="left"/>
      <w:pPr>
        <w:ind w:left="3600" w:hanging="360"/>
      </w:pPr>
    </w:lvl>
    <w:lvl w:ilvl="5" w:tplc="6E12399E">
      <w:start w:val="1"/>
      <w:numFmt w:val="bullet"/>
      <w:lvlText w:val="■"/>
      <w:lvlJc w:val="left"/>
      <w:pPr>
        <w:ind w:left="4320" w:hanging="360"/>
      </w:pPr>
    </w:lvl>
    <w:lvl w:ilvl="6" w:tplc="DBA61962">
      <w:start w:val="1"/>
      <w:numFmt w:val="bullet"/>
      <w:lvlText w:val="●"/>
      <w:lvlJc w:val="left"/>
      <w:pPr>
        <w:ind w:left="5040" w:hanging="360"/>
      </w:pPr>
    </w:lvl>
    <w:lvl w:ilvl="7" w:tplc="39ECA238">
      <w:start w:val="1"/>
      <w:numFmt w:val="bullet"/>
      <w:lvlText w:val="●"/>
      <w:lvlJc w:val="left"/>
      <w:pPr>
        <w:ind w:left="5760" w:hanging="360"/>
      </w:pPr>
    </w:lvl>
    <w:lvl w:ilvl="8" w:tplc="DBDAD3F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4D7"/>
    <w:rsid w:val="003F3A3C"/>
    <w:rsid w:val="007A5356"/>
    <w:rsid w:val="00E55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98601"/>
  <w15:docId w15:val="{CCE54258-C784-4E13-A034-2216AF70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dc.gov/diabetes/data/statistics-repor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a.me/15645446924?text=Hi%2C%20I%20need%20a%20custom%20NRS-425%20Epidemiology%20and%20Community%20Health%20paper%20completed%20for%20my%20communi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1377/hlthaff.2022.01369" TargetMode="External"/><Relationship Id="rId4" Type="http://schemas.openxmlformats.org/officeDocument/2006/relationships/webSettings" Target="webSettings.xml"/><Relationship Id="rId9" Type="http://schemas.openxmlformats.org/officeDocument/2006/relationships/hyperlink" Target="https://doi.org/10.1371/journal.pmed.1004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1260</Words>
  <Characters>7182</Characters>
  <Application>Microsoft Office Word</Application>
  <DocSecurity>0</DocSecurity>
  <Lines>59</Lines>
  <Paragraphs>16</Paragraphs>
  <ScaleCrop>false</ScaleCrop>
  <Company>HP</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HP SPECTRE</cp:lastModifiedBy>
  <cp:revision>2</cp:revision>
  <dcterms:created xsi:type="dcterms:W3CDTF">2026-06-20T03:20:00Z</dcterms:created>
  <dcterms:modified xsi:type="dcterms:W3CDTF">2026-06-20T04:31:00Z</dcterms:modified>
</cp:coreProperties>
</file>