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85113" w:rsidRDefault="00E85113" w:rsidP="006E518A">
      <w:pPr>
        <w:pStyle w:val="Title"/>
        <w:contextualSpacing/>
      </w:pPr>
    </w:p>
    <w:p w14:paraId="00000002" w14:textId="77777777" w:rsidR="00E85113" w:rsidRDefault="00E85113" w:rsidP="006E518A">
      <w:pPr>
        <w:pStyle w:val="Title"/>
        <w:contextualSpacing/>
      </w:pPr>
    </w:p>
    <w:p w14:paraId="00000003" w14:textId="77777777" w:rsidR="00E85113" w:rsidRDefault="00E85113" w:rsidP="006E518A">
      <w:pPr>
        <w:pStyle w:val="Title"/>
        <w:contextualSpacing/>
      </w:pPr>
    </w:p>
    <w:p w14:paraId="00000004" w14:textId="77777777" w:rsidR="00E85113" w:rsidRDefault="00E85113" w:rsidP="006E518A">
      <w:pPr>
        <w:pStyle w:val="Title"/>
        <w:contextualSpacing/>
      </w:pPr>
    </w:p>
    <w:p w14:paraId="00000005" w14:textId="77777777" w:rsidR="00E85113" w:rsidRDefault="00E26A28" w:rsidP="006E518A">
      <w:pPr>
        <w:pStyle w:val="Title"/>
        <w:contextualSpacing/>
      </w:pPr>
      <w:r>
        <w:t>Business Analysis: NovaCraft Furniture Co. (Illustrative Example)</w:t>
      </w:r>
    </w:p>
    <w:p w14:paraId="00000006" w14:textId="77777777" w:rsidR="00E85113" w:rsidRDefault="00E26A28" w:rsidP="006E518A">
      <w:pPr>
        <w:pStyle w:val="Title"/>
        <w:contextualSpacing/>
      </w:pPr>
      <w:r>
        <w:t>[Your Name] — Built from Gradevia’s C218 Task 2 guide</w:t>
      </w:r>
    </w:p>
    <w:p w14:paraId="00000007" w14:textId="77777777" w:rsidR="00E85113" w:rsidRDefault="00E26A28" w:rsidP="006E518A">
      <w:pPr>
        <w:ind w:firstLine="0"/>
        <w:contextualSpacing/>
        <w:jc w:val="center"/>
      </w:pPr>
      <w:r>
        <w:t>Western Governors University</w:t>
      </w:r>
    </w:p>
    <w:p w14:paraId="00000008" w14:textId="77777777" w:rsidR="00E85113" w:rsidRDefault="00E85113" w:rsidP="006E518A">
      <w:pPr>
        <w:contextualSpacing/>
      </w:pPr>
    </w:p>
    <w:p w14:paraId="00000009" w14:textId="77777777" w:rsidR="00E85113" w:rsidRDefault="00E85113" w:rsidP="006E518A">
      <w:pPr>
        <w:contextualSpacing/>
        <w:jc w:val="center"/>
      </w:pPr>
    </w:p>
    <w:p w14:paraId="0000000A" w14:textId="77777777" w:rsidR="00E85113" w:rsidRDefault="00E26A28" w:rsidP="006E518A">
      <w:pPr>
        <w:pStyle w:val="Title"/>
        <w:contextualSpacing/>
      </w:pPr>
      <w:r>
        <w:br w:type="page"/>
      </w:r>
    </w:p>
    <w:p w14:paraId="00000015" w14:textId="0A1BF9D7" w:rsidR="00E85113" w:rsidRPr="003A663B" w:rsidRDefault="004A6C91" w:rsidP="006E518A">
      <w:pPr>
        <w:pStyle w:val="Heading1"/>
        <w:contextualSpacing/>
        <w:rPr>
          <w:sz w:val="28"/>
          <w:szCs w:val="28"/>
        </w:rPr>
      </w:pPr>
      <w:r>
        <w:rPr>
          <w:sz w:val="28"/>
          <w:szCs w:val="28"/>
        </w:rPr>
        <w:lastRenderedPageBreak/>
        <w:t>Business Analysis</w:t>
      </w:r>
    </w:p>
    <w:p w14:paraId="00000019" w14:textId="5071AEC0" w:rsidR="00E85113" w:rsidRDefault="00BA0124" w:rsidP="006E518A">
      <w:pPr>
        <w:pStyle w:val="Heading2"/>
        <w:contextualSpacing/>
        <w:jc w:val="center"/>
      </w:pPr>
      <w:bookmarkStart w:id="0" w:name="_eswcc8ug88n6" w:colFirst="0" w:colLast="0"/>
      <w:bookmarkEnd w:id="0"/>
      <w:r>
        <w:t>Reflection on Decision-Making</w:t>
      </w:r>
    </w:p>
    <w:p w14:paraId="78125480" w14:textId="683720A6" w:rsidR="004A6C91" w:rsidRDefault="004A6C91" w:rsidP="006E518A">
      <w:pPr>
        <w:pStyle w:val="Heading3"/>
        <w:ind w:firstLine="0"/>
        <w:contextualSpacing/>
        <w:rPr>
          <w:sz w:val="24"/>
          <w:szCs w:val="24"/>
        </w:rPr>
      </w:pPr>
      <w:r>
        <w:rPr>
          <w:sz w:val="24"/>
          <w:szCs w:val="24"/>
        </w:rPr>
        <w:t>Corporate Strategic Thrusts</w:t>
      </w:r>
    </w:p>
    <w:p w:rsidR="00000000" w:rsidRDefault="00000000">
      <w:pPr>
        <w:pStyle w:val="NoSpacing"/>
        <w:spacing w:line="480" w:lineRule="auto"/>
        <w:ind w:firstLine="0"/>
      </w:pPr>
      <w:r>
        <w:t xml:space="preserve">NovaCraft Furniture Co. selected four corporate strategic thrusts to guide its Q4 through Q6 growth plan: Cost Leadership through Supply Chain Efficiency, Capacity Growth to Meet Demand, Product Line Diversification, and Channel Expansion through Retail Partnerships. Each thrust reflects one of the four priorities management set once the Q3 funding round closed: control unit cost, remove the production bottleneck exposed in Q3, reduce reliance on a single furniture category, and reach customers beyond the direct-to-consumer channel.</w:t>
      </w:r>
    </w:p>
    <w:p w14:paraId="1543E862" w14:textId="3DD0EE16" w:rsidR="004A6C91" w:rsidRDefault="004A6C91" w:rsidP="006E518A">
      <w:pPr>
        <w:pStyle w:val="Heading3"/>
        <w:ind w:firstLine="0"/>
        <w:contextualSpacing/>
        <w:rPr>
          <w:sz w:val="24"/>
          <w:szCs w:val="24"/>
        </w:rPr>
      </w:pPr>
      <w:r>
        <w:rPr>
          <w:sz w:val="24"/>
          <w:szCs w:val="24"/>
        </w:rPr>
        <w:t>Four Business Decisions</w:t>
      </w:r>
    </w:p>
    <w:p w:rsidR="00000000" w:rsidRDefault="00000000">
      <w:pPr>
        <w:pStyle w:val="NoSpacing"/>
        <w:spacing w:line="480" w:lineRule="auto"/>
        <w:ind w:firstLine="0"/>
      </w:pPr>
      <w:r>
        <w:t xml:space="preserve">Under the Cost Leadership thrust, management renegotiated the company's lumber supply contracts in Q1, shifting to FSC-certified suppliers at a lower per-board-foot rate in exchange for a two-year volume commitment. This decision was a direct expression of the thrust because it targeted unit production cost specifically, rather than pricing or volume, lowering unit cost from $212 in Q1 to $184 by Q3 and to $165 by Q6.</w:t>
      </w:r>
    </w:p>
    <w:p w:rsidR="00000000" w:rsidRDefault="00000000">
      <w:pPr>
        <w:pStyle w:val="NoSpacing"/>
        <w:spacing w:line="480" w:lineRule="auto"/>
        <w:ind w:firstLine="720"/>
      </w:pPr>
      <w:r>
        <w:t xml:space="preserve">Under the Capacity Growth thrust, management used $1.4M of the $2.5M equity raise to open a second production line, which came online midway through Q5. The decision followed directly from the thrust because the Q3 tactical plan had already identified plant capacity, not customer demand, as the binding constraint on further revenue growth.</w:t>
      </w:r>
    </w:p>
    <w:p w:rsidR="00000000" w:rsidRDefault="00000000">
      <w:pPr>
        <w:pStyle w:val="NoSpacing"/>
        <w:spacing w:line="480" w:lineRule="auto"/>
        <w:ind w:firstLine="720"/>
      </w:pPr>
      <w:r>
        <w:t xml:space="preserve">Under the Product Line Diversification thrust, management launched a small-office furniture category in Q5, built on the same FSC-certified supply chain used for the core residential line. The decision operationalized the thrust's goal of reducing single-category revenue concentration without requiring an entirely new supplier base.</w:t>
      </w:r>
    </w:p>
    <w:p w:rsidR="00000000" w:rsidRDefault="00000000">
      <w:pPr>
        <w:pStyle w:val="NoSpacing"/>
        <w:spacing w:line="480" w:lineRule="auto"/>
        <w:ind w:firstLine="720"/>
      </w:pPr>
      <w:r>
        <w:t xml:space="preserve">Under the Channel Expansion thrust, management signed NovaCraft's first regional retail partnership in Q5, placing products in physical stores for the first time outside the direct-to-consumer channel. This decision tested a second distribution channel at a single regional partner before committing to a wider retail rollout.</w:t>
      </w:r>
    </w:p>
    <w:p w14:paraId="572D94D9" w14:textId="706A3310" w:rsidR="004A6C91" w:rsidRDefault="004A6C91" w:rsidP="006E518A">
      <w:pPr>
        <w:pStyle w:val="Heading3"/>
        <w:ind w:firstLine="0"/>
        <w:contextualSpacing/>
        <w:rPr>
          <w:sz w:val="24"/>
          <w:szCs w:val="24"/>
        </w:rPr>
      </w:pPr>
      <w:r>
        <w:rPr>
          <w:sz w:val="24"/>
          <w:szCs w:val="24"/>
        </w:rPr>
        <w:t>Beneficial Decisions</w:t>
      </w:r>
    </w:p>
    <w:p w:rsidR="00000000" w:rsidRDefault="00000000">
      <w:pPr>
        <w:pStyle w:val="NoSpacing"/>
        <w:spacing w:line="480" w:lineRule="auto"/>
        <w:ind w:firstLine="0"/>
      </w:pPr>
      <w:r>
        <w:t xml:space="preserve">Two decisions stand out for their measurable benefit to the company. First, the Q1 lumber contract renegotiation under the Cost Leadership thrust lowered unit production cost every quarter from Q1 through Q6, taking gross margin from 38% to 46% over that span. Production volume grew roughly in line with revenue across the same period, so material cost was the one input that reliably declined each quarter, making this single contract the largest identifiable contributor to the margin gain.</w:t>
      </w:r>
    </w:p>
    <w:p w:rsidR="00000000" w:rsidRDefault="00000000">
      <w:pPr>
        <w:pStyle w:val="NoSpacing"/>
        <w:spacing w:line="480" w:lineRule="auto"/>
        <w:ind w:firstLine="720"/>
      </w:pPr>
      <w:r>
        <w:t xml:space="preserve">Second, the Q5 second production line under the Capacity Growth thrust eliminated the backorder problem that had capped Q4 growth. Revenue climbed from $610,000 in Q4 to $780,000 in Q6 without the stockouts that constrained the Q3-to-Q4 period, and management estimates the additional capacity alone prevented roughly $52,000 in lost Q6 sales that would otherwise have gone to backorder.</w:t>
      </w:r>
    </w:p>
    <w:p w14:paraId="67DF55BE" w14:textId="3E2987A4" w:rsidR="004A6C91" w:rsidRDefault="004A6C91" w:rsidP="006E518A">
      <w:pPr>
        <w:pStyle w:val="Heading3"/>
        <w:ind w:firstLine="0"/>
        <w:contextualSpacing/>
        <w:rPr>
          <w:sz w:val="24"/>
          <w:szCs w:val="24"/>
        </w:rPr>
      </w:pPr>
      <w:r>
        <w:rPr>
          <w:sz w:val="24"/>
          <w:szCs w:val="24"/>
        </w:rPr>
        <w:t>Decisions to Change</w:t>
      </w:r>
    </w:p>
    <w:p w:rsidR="00000000" w:rsidRDefault="00000000">
      <w:pPr>
        <w:pStyle w:val="NoSpacing"/>
        <w:spacing w:line="480" w:lineRule="auto"/>
        <w:ind w:firstLine="0"/>
      </w:pPr>
      <w:r>
        <w:t xml:space="preserve">Two decisions would be handled differently with the benefit of hindsight. First, management initially delayed the second production line's construction from Q2 to Q4, waiting for the equity raise to fully close before breaking ground. That delay meant NovaCraft entered Q4 already behind demand, and the resulting backorders cost an estimated $45,000 in lost Q4 sales alone. Next time, management would begin site preparation and equipment ordering as soon as the Q3 order backlog confirmed sustained demand, financing the early phase from operating cash flow and treating the equity raise as confirmation rather than a prerequisite.</w:t>
      </w:r>
    </w:p>
    <w:p w:rsidR="00000000" w:rsidRDefault="00000000">
      <w:pPr>
        <w:pStyle w:val="NoSpacing"/>
        <w:spacing w:line="480" w:lineRule="auto"/>
        <w:ind w:firstLine="720"/>
      </w:pPr>
      <w:r>
        <w:t xml:space="preserve">Second, the Q5 retail partnership agreement locked in a 35% wholesale discount off list price, more generous than necessary to win the account. That discount compressed channel gross margin by an estimated $18,000 across Q5 and Q6 combined. With the sales data now available, management would renegotiate toward a 28% discount tied to a minimum quarterly volume commitment, since the partner's actual Q6 order volume came in well above the threshold that would have justified the smaller discount.</w:t>
      </w:r>
    </w:p>
    <w:p w14:paraId="46B064A8" w14:textId="77777777" w:rsidR="004A6C91" w:rsidRDefault="004A6C91" w:rsidP="006E518A">
      <w:pPr>
        <w:ind w:firstLine="0"/>
        <w:contextualSpacing/>
      </w:pPr>
    </w:p>
    <w:p w14:paraId="0000001B" w14:textId="603A1797" w:rsidR="00E85113" w:rsidRDefault="00BA0124" w:rsidP="006E518A">
      <w:pPr>
        <w:pStyle w:val="Heading2"/>
        <w:contextualSpacing/>
        <w:jc w:val="center"/>
      </w:pPr>
      <w:r>
        <w:t>Valuation and Return on Investment (ROI)</w:t>
      </w:r>
    </w:p>
    <w:p w14:paraId="0000001D" w14:textId="04E55150" w:rsidR="00E85113" w:rsidRDefault="004A6C91" w:rsidP="006E518A">
      <w:pPr>
        <w:pStyle w:val="Heading3"/>
        <w:ind w:firstLine="0"/>
        <w:contextualSpacing/>
        <w:rPr>
          <w:sz w:val="24"/>
          <w:szCs w:val="24"/>
        </w:rPr>
      </w:pPr>
      <w:bookmarkStart w:id="1" w:name="_5qol7xqvul6n" w:colFirst="0" w:colLast="0"/>
      <w:bookmarkEnd w:id="1"/>
      <w:r>
        <w:rPr>
          <w:sz w:val="24"/>
          <w:szCs w:val="24"/>
        </w:rPr>
        <w:t>Valuation of Company</w:t>
      </w:r>
    </w:p>
    <w:p w:rsidR="00000000" w:rsidRDefault="00000000">
      <w:pPr>
        <w:pStyle w:val="NoSpacing"/>
        <w:spacing w:line="480" w:lineRule="auto"/>
        <w:ind w:firstLine="0"/>
      </w:pPr>
      <w:r>
        <w:t xml:space="preserve">NovaCraft's valuation was estimated using the discounted cash flow (DCF) method, specifically the Gordon Growth perpetuity approach, which values a company as the present value of its future free cash flow discounted at a rate that reflects the risk of that cash flow (Silva, 2023).</w:t>
      </w:r>
    </w:p>
    <w:p w:rsidR="00000000" w:rsidRDefault="00000000">
      <w:pPr>
        <w:pStyle w:val="NoSpacing"/>
        <w:spacing w:line="480" w:lineRule="auto"/>
        <w:ind w:firstLine="720"/>
      </w:pPr>
      <w:r>
        <w:t xml:space="preserve">Calculation: Q6 quarterly operating cash flow of $142,000 was annualized to a $568,000 run-rate. Applying an 8% near-term growth assumption produced a forward twelve-month free cash flow estimate of $613,440 ($568,000 × 1.08). That figure was then capitalized using a 12% discount rate and a 3% terminal growth rate: $613,440 ÷ (0.12 − 0.03) = $6,816,000.</w:t>
      </w:r>
    </w:p>
    <w:p w:rsidR="00000000" w:rsidRDefault="00000000">
      <w:pPr>
        <w:pStyle w:val="NoSpacing"/>
        <w:spacing w:line="480" w:lineRule="auto"/>
        <w:ind w:firstLine="720"/>
      </w:pPr>
      <w:r>
        <w:t xml:space="preserve">Rationale for assumptions: the 12% discount rate reflects a small-cap manufacturer's blended cost of capital, consistent with NovaCraft's conservative 0.6 debt-to-equity ratio following the equity-financed capacity expansion. The 8% near-term growth assumption was set below the company's realized compound quarterly growth rate to avoid overstating a run that included a one-time gain from removing the Q4 backorder bottleneck. The 3% terminal growth rate reflects long-run economic growth and is a standard conservative assumption for a perpetuity calculation (Silva, 2023).</w:t>
      </w:r>
    </w:p>
    <w:p w:rsidR="00000000" w:rsidRDefault="00000000">
      <w:pPr>
        <w:pStyle w:val="NoSpacing"/>
        <w:spacing w:line="480" w:lineRule="auto"/>
        <w:ind w:firstLine="720"/>
      </w:pPr>
      <w:r>
        <w:t xml:space="preserve">Financial data used: Q6 operating cash flow from the cash flow statement, the six-quarter revenue and margin trend from the income statement, and the Q6 debt-to-equity ratio from the balance sheet.</w:t>
      </w:r>
    </w:p>
    <w:p w14:paraId="0000001F" w14:textId="47094F64" w:rsidR="00E85113" w:rsidRDefault="004A6C91" w:rsidP="006E518A">
      <w:pPr>
        <w:pStyle w:val="Heading3"/>
        <w:ind w:firstLine="0"/>
        <w:contextualSpacing/>
        <w:rPr>
          <w:sz w:val="24"/>
          <w:szCs w:val="24"/>
        </w:rPr>
      </w:pPr>
      <w:bookmarkStart w:id="2" w:name="_rhiwzorcgasm" w:colFirst="0" w:colLast="0"/>
      <w:bookmarkEnd w:id="2"/>
      <w:r>
        <w:rPr>
          <w:sz w:val="24"/>
          <w:szCs w:val="24"/>
        </w:rPr>
        <w:t>Return on Investment (ROI)</w:t>
      </w:r>
    </w:p>
    <w:p w:rsidR="00000000" w:rsidRDefault="00000000">
      <w:pPr>
        <w:pStyle w:val="NoSpacing"/>
        <w:spacing w:line="480" w:lineRule="auto"/>
        <w:ind w:firstLine="0"/>
      </w:pPr>
      <w:r>
        <w:t xml:space="preserve">Using the valuation calculated in Part A3a, NovaCraft's estimated ROI on the $2.5M equity raise was calculated as follows. Applying the same DCF method to the company's Q3 financial position, before the raise closed, produces a baseline valuation of $2,928,000 (Q3 operating cash flow of $61,000, annualized to $244,000, grown 8% to $263,520, and capitalized at 0.09: $263,520 ÷ 0.09 = $2,928,000). The Q6 valuation of $6,816,000, less that $2,928,000 baseline, equals $3,888,000 in value created. Subtracting the $2.5M invested leaves a return of $1,388,000.</w:t>
      </w:r>
    </w:p>
    <w:p w:rsidR="00000000" w:rsidRDefault="00000000">
      <w:pPr>
        <w:pStyle w:val="NoSpacing"/>
        <w:spacing w:line="480" w:lineRule="auto"/>
        <w:ind w:firstLine="720"/>
      </w:pPr>
      <w:r>
        <w:t xml:space="preserve">ROI = (Return ÷ Investment) × 100 = ($1,388,000 ÷ $2,500,000) × 100 = 55.5%.</w:t>
      </w:r>
    </w:p>
    <w:p w:rsidR="00000000" w:rsidRDefault="00000000">
      <w:pPr>
        <w:pStyle w:val="NoSpacing"/>
        <w:spacing w:line="480" w:lineRule="auto"/>
        <w:ind w:firstLine="720"/>
      </w:pPr>
      <w:r>
        <w:t xml:space="preserve">This 55.5% return significantly exceeds the 12% discount rate used to value the company, indicating the capital deployment created value well above its cost of capital (Dwivedi et al., 2022). Investors should weigh two considerations, however: most of the value creation is concentrated in the two quarters immediately following the raise, Q5 and Q6, rather than spread evenly across the post-raise period, and the valuation is sensitive to the underlying rate assumptions. Raising the discount rate by a single percentage point, from 12% to 13%, would lower the estimated valuation by roughly 10%, which would still leave the investment well above breakeven but is worth disclosing rather than treating the 55.5% figure as a fixed outcome.</w:t>
      </w:r>
    </w:p>
    <w:p w14:paraId="3E2A68B4" w14:textId="77777777" w:rsidR="003A663B" w:rsidRDefault="003A663B" w:rsidP="006E518A">
      <w:pPr>
        <w:pStyle w:val="NoSpacing"/>
        <w:spacing w:line="480" w:lineRule="auto"/>
        <w:contextualSpacing/>
      </w:pPr>
      <w:bookmarkStart w:id="3" w:name="_nnfelw5uywnv" w:colFirst="0" w:colLast="0"/>
      <w:bookmarkEnd w:id="3"/>
    </w:p>
    <w:p w14:paraId="00000022" w14:textId="50308DD7" w:rsidR="00E85113" w:rsidRDefault="004A6C91" w:rsidP="006E518A">
      <w:pPr>
        <w:pStyle w:val="Heading1"/>
        <w:ind w:firstLine="0"/>
        <w:contextualSpacing/>
      </w:pPr>
      <w:r>
        <w:t>Overall Financial Performance</w:t>
      </w:r>
    </w:p>
    <w:p w14:paraId="29C2497A" w14:textId="2293D504" w:rsidR="004A6C91" w:rsidRDefault="004A6C91" w:rsidP="006E518A">
      <w:pPr>
        <w:pStyle w:val="Heading2"/>
        <w:contextualSpacing/>
      </w:pPr>
      <w:r>
        <w:t xml:space="preserve">Financial Ratios</w:t>
      </w:r>
    </w:p>
    <w:p w:rsidR="00000000" w:rsidRDefault="00000000">
      <w:pPr>
        <w:pStyle w:val="NoSpacing"/>
        <w:spacing w:line="480" w:lineRule="auto"/>
        <w:ind w:firstLine="0"/>
      </w:pPr>
      <w:r>
        <w:t xml:space="preserve">NovaCraft's Q6 financial ratios were evaluated against industry benchmarks for small-to-midsize furniture manufacturers, one metric from each required category.</w:t>
      </w:r>
    </w:p>
    <w:p w:rsidR="00000000" w:rsidRDefault="00000000">
      <w:pPr>
        <w:pStyle w:val="NoSpacing"/>
        <w:spacing w:line="480" w:lineRule="auto"/>
        <w:ind w:firstLine="720"/>
      </w:pPr>
      <w:r>
        <w:t xml:space="preserve">Liquidity — Current Ratio: NovaCraft's Q6 current ratio was 2.3, above the industry benchmark range of 1.5 to 2.0. This indicates a stronger-than-typical short-term cushion, reflecting cash retained from the equity raise that had not yet been fully deployed into the second production line by the end of Q6.</w:t>
      </w:r>
    </w:p>
    <w:p w:rsidR="00000000" w:rsidRDefault="00000000">
      <w:pPr>
        <w:pStyle w:val="NoSpacing"/>
        <w:spacing w:line="480" w:lineRule="auto"/>
        <w:ind w:firstLine="720"/>
      </w:pPr>
      <w:r>
        <w:t xml:space="preserve">Activity — Inventory Turnover: NovaCraft's Q6 inventory turnover was 9.4 times, above the industry benchmark of 7.0 to 9.0 times. This indicates the company cycles inventory faster than the industry norm, consistent with its direct-to-consumer model, which avoids the retail floor inventory that pulls down turnover for competitors; the new retail partnership channel could move this ratio back toward the industry range in future quarters as retail floor stock builds.</w:t>
      </w:r>
    </w:p>
    <w:p w:rsidR="00000000" w:rsidRDefault="00000000">
      <w:pPr>
        <w:pStyle w:val="NoSpacing"/>
        <w:spacing w:line="480" w:lineRule="auto"/>
        <w:ind w:firstLine="720"/>
      </w:pPr>
      <w:r>
        <w:t xml:space="preserve">Leverage — Debt-to-Equity: NovaCraft's Q6 debt-to-equity ratio was 0.6, below the industry benchmark of 0.8 to 1.2. This indicates conservative leverage even after the capacity expansion, since the $2.5M raise was structured as equity rather than debt, leaving borrowing capacity available for the next growth phase without further diluting ownership (Ayoush et al., 2021).</w:t>
      </w:r>
    </w:p>
    <w:p w:rsidR="00000000" w:rsidRDefault="00000000">
      <w:pPr>
        <w:pStyle w:val="NoSpacing"/>
        <w:spacing w:line="480" w:lineRule="auto"/>
        <w:ind w:firstLine="720"/>
      </w:pPr>
      <w:r>
        <w:t xml:space="preserve">Profitability — Net Profit Margin: NovaCraft's Q6 net profit margin was 16.8%, above the industry benchmark of 10% to 14%. This indicates the cost leadership thrust and a still-small overhead base relative to the company's new revenue scale are converting sales into profit more efficiently than the typical industry participant, though the comparison should be revisited once overhead scales with the new production line's full headcount.</w:t>
      </w:r>
    </w:p>
    <w:p w14:paraId="079945E3" w14:textId="3B32094F" w:rsidR="004A6C91" w:rsidRDefault="004A6C91" w:rsidP="006E518A">
      <w:pPr>
        <w:pStyle w:val="Heading2"/>
        <w:contextualSpacing/>
      </w:pPr>
      <w:r>
        <w:t>Cash Flow Analysis</w:t>
      </w:r>
    </w:p>
    <w:p w:rsidR="00000000" w:rsidRDefault="00000000">
      <w:pPr>
        <w:pStyle w:val="NoSpacing"/>
        <w:spacing w:line="480" w:lineRule="auto"/>
        <w:ind w:firstLine="0"/>
      </w:pPr>
      <w:r>
        <w:t xml:space="preserve">NovaCraft's Q6 cash flow activity, including totals, breaks down across the following categories.</w:t>
      </w:r>
    </w:p>
    <w:p w:rsidR="00000000" w:rsidRDefault="00000000">
      <w:pPr>
        <w:pStyle w:val="NoSpacing"/>
        <w:spacing w:line="480" w:lineRule="auto"/>
        <w:ind w:firstLine="720"/>
      </w:pPr>
      <w:r>
        <w:t xml:space="preserve">Cash balances: the quarter began with $184,000 in cash and ended with $326,000, a net increase of $142,000.</w:t>
      </w:r>
    </w:p>
    <w:p w:rsidR="00000000" w:rsidRDefault="00000000">
      <w:pPr>
        <w:pStyle w:val="NoSpacing"/>
        <w:spacing w:line="480" w:lineRule="auto"/>
        <w:ind w:firstLine="720"/>
      </w:pPr>
      <w:r>
        <w:t xml:space="preserve">Cash flow from operating activities: $142,000, generated by core furniture sales and production activity.</w:t>
      </w:r>
    </w:p>
    <w:p w:rsidR="00000000" w:rsidRDefault="00000000">
      <w:pPr>
        <w:pStyle w:val="NoSpacing"/>
        <w:spacing w:line="480" w:lineRule="auto"/>
        <w:ind w:firstLine="720"/>
      </w:pPr>
      <w:r>
        <w:t xml:space="preserve">Cash flow from investing activities: -$95,000, reflecting continued equipment purchases to complete the second production line's build-out.</w:t>
      </w:r>
    </w:p>
    <w:p w:rsidR="00000000" w:rsidRDefault="00000000">
      <w:pPr>
        <w:pStyle w:val="NoSpacing"/>
        <w:spacing w:line="480" w:lineRule="auto"/>
        <w:ind w:firstLine="720"/>
      </w:pPr>
      <w:r>
        <w:t xml:space="preserve">Cash flow from financing activities: $0, since the $2.5M equity raise closed in Q4 and no new financing activity occurred in Q6.</w:t>
      </w:r>
    </w:p>
    <w:p w:rsidR="00000000" w:rsidRDefault="00000000">
      <w:pPr>
        <w:pStyle w:val="NoSpacing"/>
        <w:spacing w:line="480" w:lineRule="auto"/>
        <w:ind w:firstLine="720"/>
      </w:pPr>
      <w:r>
        <w:t xml:space="preserve">Together, these cash flow activities indicate that NovaCraft's second production line is now funding its own remaining build-out entirely from operating cash flow, without requiring additional capital. The company generated enough operating cash in Q6 to cover its $95,000 in continued capital spending and still grow its cash position by $142,000, a healthier pattern than Q1, when operating cash flow was negative $22,000 and the company was still drawing down founder capital to stay current on expenses.</w:t>
      </w:r>
    </w:p>
    <w:p w14:paraId="1B6E4B2C" w14:textId="5B199654" w:rsidR="00781D28" w:rsidRDefault="00781D28" w:rsidP="006E518A">
      <w:pPr>
        <w:pStyle w:val="Heading2"/>
        <w:contextualSpacing/>
      </w:pPr>
      <w:r>
        <w:t>Conscious Scorecard Decisions</w:t>
      </w:r>
    </w:p>
    <w:p w:rsidR="00000000" w:rsidRDefault="00000000">
      <w:pPr>
        <w:pStyle w:val="NoSpacing"/>
        <w:spacing w:line="480" w:lineRule="auto"/>
        <w:ind w:firstLine="0"/>
      </w:pPr>
      <w:r>
        <w:t xml:space="preserve">Three decisions shown on NovaCraft's conscious scorecard affected company performance across Q4 through Q6.</w:t>
      </w:r>
    </w:p>
    <w:p w:rsidR="00000000" w:rsidRDefault="00000000">
      <w:pPr>
        <w:pStyle w:val="NoSpacing"/>
        <w:spacing w:line="480" w:lineRule="auto"/>
        <w:ind w:firstLine="720"/>
      </w:pPr>
      <w:r>
        <w:t xml:space="preserve">First, sourcing 100% FSC-certified lumber (Q1, environmental category) supported the Cost Leadership thrust described in Part A1 and raised the scorecard's environmental index, though it introduced a single-supplier concentration risk that management continues to monitor.</w:t>
      </w:r>
    </w:p>
    <w:p w:rsidR="00000000" w:rsidRDefault="00000000">
      <w:pPr>
        <w:pStyle w:val="NoSpacing"/>
        <w:spacing w:line="480" w:lineRule="auto"/>
        <w:ind w:firstLine="720"/>
      </w:pPr>
      <w:r>
        <w:t xml:space="preserve">Second, setting a living-wage floor at the new second production facility (Q4, workforce category) raised the scorecard's workforce satisfaction index and reduced Q5 and Q6 turnover-related retraining costs, at an estimated $14,000 quarterly premium over the local minimum wage, a cost management considers justified by lower turnover at the new facility compared to industry-typical ramp-up attrition (Kumar et al., 2022).</w:t>
      </w:r>
    </w:p>
    <w:p w:rsidR="00000000" w:rsidRDefault="00000000">
      <w:pPr>
        <w:pStyle w:val="NoSpacing"/>
        <w:spacing w:line="480" w:lineRule="auto"/>
        <w:ind w:firstLine="720"/>
      </w:pPr>
      <w:r>
        <w:t xml:space="preserve">Third, extending a 90-day return policy to reduce landfill waste from damaged-in-transit furniture returns (Q5, customer and environmental categories) improved the scorecard's customer trust index but added an estimated $9,000 in combined Q5 and Q6 return-logistics cost. Taken together, these three decisions show a consistent pattern: each traded a measurable short-term cost for a scorecard gain in a non-financial category, and each remained affordable within a quarter where operating cash flow was positive and growing.</w:t>
      </w:r>
    </w:p>
    <w:p w14:paraId="7EB9B002" w14:textId="77777777" w:rsidR="00D563DE" w:rsidRPr="00D563DE" w:rsidRDefault="00D563DE" w:rsidP="006E518A">
      <w:pPr>
        <w:ind w:firstLine="0"/>
      </w:pPr>
    </w:p>
    <w:p>
      <w:pPr>
        <w:pStyle w:val="Heading1"/>
        <w:contextualSpacing/>
      </w:pPr>
      <w:r>
        <w:t>References</w:t>
      </w:r>
    </w:p>
    <w:p>
      <w:pPr>
        <w:pStyle w:val="NoSpacing"/>
        <w:spacing w:line="480" w:lineRule="auto"/>
        <w:ind w:left="720" w:hanging="720"/>
      </w:pPr>
      <w:r>
        <w:t xml:space="preserve">Ayoush, M. D., Toumeh, A. A., &amp; Shabaneh, K. I. (2021). Liquidity, leverage, and solvency: What affects profitability of industrial enterprises the most? Investment Management and Financial Innovations, 18(3), 249–259. https://doi.org/10.21511/imfi.18(3).2021.22</w:t>
      </w:r>
    </w:p>
    <w:p>
      <w:pPr>
        <w:pStyle w:val="NoSpacing"/>
        <w:spacing w:line="480" w:lineRule="auto"/>
        <w:ind w:left="720" w:hanging="720"/>
      </w:pPr>
      <w:r>
        <w:t xml:space="preserve">Dwivedi, Y. K., et al. (2022). Information signals and bias in investment decisions: A meta-analytic comparison of prediction and actual performance of new ventures. Journal of Business Research, 155, 113424. https://doi.org/10.1016/j.jbusres.2022.113424</w:t>
      </w:r>
    </w:p>
    <w:p>
      <w:pPr>
        <w:pStyle w:val="NoSpacing"/>
        <w:spacing w:line="480" w:lineRule="auto"/>
        <w:ind w:left="720" w:hanging="720"/>
      </w:pPr>
      <w:r>
        <w:t xml:space="preserve">Kumar, J., Prince, N., &amp; Baker, H. K. (2022). Balanced scorecard: A systematic literature review and future research issues. FIIB Business Review, 11(2), 147–161. https://doi.org/10.1177/23197145211049625</w:t>
      </w:r>
    </w:p>
    <w:p>
      <w:pPr>
        <w:pStyle w:val="NoSpacing"/>
        <w:spacing w:line="480" w:lineRule="auto"/>
        <w:ind w:left="720" w:hanging="720"/>
      </w:pPr>
      <w:r>
        <w:t xml:space="preserve">Silva, C. A. T. (2023). Discounted cash flow: Theoretical and practical aspects of its use. Advances in Scientific and Applied Accounting, 16(3), 199–208. https://doi.org/10.14392/asaa.2023160309</w:t>
      </w:r>
    </w:p>
    <w:p w14:paraId="00000023" w14:textId="75ECC9E3" w:rsidR="00E85113" w:rsidRDefault="00E85113" w:rsidP="006E518A">
      <w:pPr>
        <w:widowControl w:val="0"/>
        <w:pBdr>
          <w:top w:val="nil"/>
          <w:left w:val="nil"/>
          <w:bottom w:val="nil"/>
          <w:right w:val="nil"/>
          <w:between w:val="nil"/>
        </w:pBdr>
        <w:ind w:firstLine="0"/>
        <w:contextualSpacing/>
      </w:pPr>
    </w:p>
    <w:sectPr w:rsidR="00E85113">
      <w:headerReference w:type="even" r:id="rId9"/>
      <w:headerReference w:type="default" r:id="rId10"/>
      <w:headerReference w:type="first" r:id="rId11"/>
      <w:footerReference w:type="even" r:id="rId20"/>
      <w:footerReference w:type="default" r:id="rId21"/>
      <w:footerReference w:type="first" r:id="rId2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C711E" w14:textId="77777777" w:rsidR="000605B9" w:rsidRDefault="000605B9">
      <w:pPr>
        <w:spacing w:line="240" w:lineRule="auto"/>
      </w:pPr>
      <w:r>
        <w:separator/>
      </w:r>
    </w:p>
  </w:endnote>
  <w:endnote w:type="continuationSeparator" w:id="0">
    <w:p w14:paraId="79DFADD8" w14:textId="77777777" w:rsidR="000605B9" w:rsidRDefault="000605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0001" w14:textId="1A000001" w:rsidR="00E85113" w:rsidRDefault="00E85113">
    <w:pPr>
      <w:pStyle w:val="NoSpacing"/>
      <w:ind w:firstLine="0"/>
      <w:jc w:val="center"/>
      <w:rPr>
        <w:i/>
        <w:sz w:val="18"/>
        <w:szCs w:val="18"/>
        <w:color w:val="595959"/>
      </w:rPr>
    </w:pPr>
    <w:r>
      <w:rPr>
        <w:i/>
        <w:sz w:val="18"/>
        <w:szCs w:val="18"/>
        <w:color w:val="595959"/>
      </w:rPr>
      <w:t>For illustration purposes only — not a submission-ready answer key. Need help completing your own C218 Task 2? Message Gradevia on WhatsApp: +1 (564) 544-6924.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0001" w14:textId="1A000001" w:rsidR="00E85113" w:rsidRDefault="00E85113">
    <w:pPr>
      <w:pStyle w:val="NoSpacing"/>
      <w:ind w:firstLine="0"/>
      <w:jc w:val="center"/>
      <w:rPr>
        <w:i/>
        <w:sz w:val="18"/>
        <w:szCs w:val="18"/>
        <w:color w:val="595959"/>
      </w:rPr>
    </w:pPr>
    <w:r>
      <w:rPr>
        <w:i/>
        <w:sz w:val="18"/>
        <w:szCs w:val="18"/>
        <w:color w:val="595959"/>
      </w:rPr>
      <w:t>For illustration purposes only — not a submission-ready answer key. Need help completing your own C218 Task 2? Message Gradevia on WhatsApp: +1 (564) 544-6924.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0001" w14:textId="1A000001" w:rsidR="00E85113" w:rsidRDefault="00E85113">
    <w:pPr>
      <w:pStyle w:val="NoSpacing"/>
      <w:ind w:firstLine="0"/>
      <w:jc w:val="center"/>
      <w:rPr>
        <w:i/>
        <w:sz w:val="18"/>
        <w:szCs w:val="18"/>
        <w:color w:val="595959"/>
      </w:rPr>
    </w:pPr>
    <w:r>
      <w:rPr>
        <w:i/>
        <w:sz w:val="18"/>
        <w:szCs w:val="18"/>
        <w:color w:val="595959"/>
      </w:rPr>
      <w:t>For illustration purposes only — not a submission-ready answer key. Need help completing your own C218 Task 2? Message Gradevia on WhatsApp: +1 (564) 544-6924.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3CF85" w14:textId="77777777" w:rsidR="000605B9" w:rsidRDefault="000605B9">
      <w:pPr>
        <w:spacing w:line="240" w:lineRule="auto"/>
      </w:pPr>
      <w:r>
        <w:separator/>
      </w:r>
    </w:p>
  </w:footnote>
  <w:footnote w:type="continuationSeparator" w:id="0">
    <w:p w14:paraId="13863510" w14:textId="77777777" w:rsidR="000605B9" w:rsidRDefault="000605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D" w14:textId="77777777" w:rsidR="00E85113" w:rsidRDefault="00E26A28">
    <w:pPr>
      <w:jc w:val="right"/>
    </w:pPr>
    <w:r>
      <w:fldChar w:fldCharType="begin"/>
    </w:r>
    <w:r>
      <w:instrText>PAGE</w:instrText>
    </w:r>
    <w:r>
      <w:fldChar w:fldCharType="end"/>
    </w:r>
  </w:p>
  <w:p w14:paraId="0000002E" w14:textId="77777777" w:rsidR="00E85113" w:rsidRDefault="00E85113">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B" w14:textId="3990BC4E" w:rsidR="00E85113" w:rsidRDefault="00E26A28">
    <w:pPr>
      <w:tabs>
        <w:tab w:val="right" w:pos="9360"/>
      </w:tabs>
      <w:ind w:firstLine="0"/>
    </w:pPr>
    <w:r>
      <w:t>TITLE OF THE PAPER</w:t>
    </w:r>
    <w:r>
      <w:tab/>
    </w:r>
    <w:r>
      <w:fldChar w:fldCharType="begin"/>
    </w:r>
    <w:r>
      <w:instrText>PAGE</w:instrText>
    </w:r>
    <w:r>
      <w:fldChar w:fldCharType="separate"/>
    </w:r>
    <w:r w:rsidR="00E96F80">
      <w:rPr>
        <w:noProof/>
      </w:rPr>
      <w:t>7</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C" w14:textId="4878B44D" w:rsidR="00E85113" w:rsidRDefault="00E26A28">
    <w:pPr>
      <w:tabs>
        <w:tab w:val="right" w:pos="9360"/>
      </w:tabs>
      <w:ind w:firstLine="0"/>
    </w:pPr>
    <w:r>
      <w:t>Running head: TITLE OF THE PAPER</w:t>
    </w:r>
    <w:r>
      <w:tab/>
    </w:r>
    <w:r>
      <w:fldChar w:fldCharType="begin"/>
    </w:r>
    <w:r>
      <w:instrText>PAGE</w:instrText>
    </w:r>
    <w:r>
      <w:fldChar w:fldCharType="separate"/>
    </w:r>
    <w:r w:rsidR="00E96F80">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113"/>
    <w:rsid w:val="000605B9"/>
    <w:rsid w:val="0017192A"/>
    <w:rsid w:val="003A663B"/>
    <w:rsid w:val="004A6C91"/>
    <w:rsid w:val="005F5AE9"/>
    <w:rsid w:val="00673094"/>
    <w:rsid w:val="006B03EB"/>
    <w:rsid w:val="006E518A"/>
    <w:rsid w:val="006E7FEA"/>
    <w:rsid w:val="007415EB"/>
    <w:rsid w:val="0074325E"/>
    <w:rsid w:val="00780A94"/>
    <w:rsid w:val="00781D28"/>
    <w:rsid w:val="007D2298"/>
    <w:rsid w:val="008B51F0"/>
    <w:rsid w:val="009A6AAF"/>
    <w:rsid w:val="009B2F8E"/>
    <w:rsid w:val="009E53F5"/>
    <w:rsid w:val="00AE3DAA"/>
    <w:rsid w:val="00B745D7"/>
    <w:rsid w:val="00B955C1"/>
    <w:rsid w:val="00BA0124"/>
    <w:rsid w:val="00CD4758"/>
    <w:rsid w:val="00CD789A"/>
    <w:rsid w:val="00D30922"/>
    <w:rsid w:val="00D563DE"/>
    <w:rsid w:val="00DC5EC5"/>
    <w:rsid w:val="00E26A28"/>
    <w:rsid w:val="00E357D3"/>
    <w:rsid w:val="00E85113"/>
    <w:rsid w:val="00E96F80"/>
    <w:rsid w:val="00EC46F9"/>
    <w:rsid w:val="00EF4543"/>
    <w:rsid w:val="00EF5317"/>
    <w:rsid w:val="00F96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2C980"/>
  <w15:docId w15:val="{D1FE2AAB-0D88-44E8-8584-3132D8F6F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jc w:val="center"/>
      <w:outlineLvl w:val="0"/>
    </w:pPr>
    <w:rPr>
      <w:b/>
    </w:rPr>
  </w:style>
  <w:style w:type="paragraph" w:styleId="Heading2">
    <w:name w:val="heading 2"/>
    <w:basedOn w:val="Normal"/>
    <w:next w:val="Normal"/>
    <w:pPr>
      <w:ind w:firstLine="0"/>
      <w:outlineLvl w:val="1"/>
    </w:pPr>
    <w:rPr>
      <w: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ind w:firstLine="0"/>
      <w:jc w:val="center"/>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3A663B"/>
    <w:pPr>
      <w:spacing w:line="240" w:lineRule="auto"/>
    </w:pPr>
  </w:style>
  <w:style w:type="paragraph" w:styleId="Revision">
    <w:name w:val="Revision"/>
    <w:hidden/>
    <w:uiPriority w:val="99"/>
    <w:semiHidden/>
    <w:rsid w:val="00E357D3"/>
    <w:pPr>
      <w:spacing w:line="240" w:lineRule="auto"/>
      <w:ind w:firstLine="0"/>
    </w:pPr>
  </w:style>
  <w:style w:type="character" w:styleId="CommentReference">
    <w:name w:val="annotation reference"/>
    <w:basedOn w:val="DefaultParagraphFont"/>
    <w:uiPriority w:val="99"/>
    <w:semiHidden/>
    <w:unhideWhenUsed/>
    <w:rsid w:val="00EF5317"/>
    <w:rPr>
      <w:sz w:val="16"/>
      <w:szCs w:val="16"/>
    </w:rPr>
  </w:style>
  <w:style w:type="paragraph" w:styleId="CommentText">
    <w:name w:val="annotation text"/>
    <w:basedOn w:val="Normal"/>
    <w:link w:val="CommentTextChar"/>
    <w:uiPriority w:val="99"/>
    <w:unhideWhenUsed/>
    <w:rsid w:val="00EF5317"/>
    <w:pPr>
      <w:spacing w:line="240" w:lineRule="auto"/>
    </w:pPr>
    <w:rPr>
      <w:sz w:val="20"/>
      <w:szCs w:val="20"/>
    </w:rPr>
  </w:style>
  <w:style w:type="character" w:customStyle="1" w:styleId="CommentTextChar">
    <w:name w:val="Comment Text Char"/>
    <w:basedOn w:val="DefaultParagraphFont"/>
    <w:link w:val="CommentText"/>
    <w:uiPriority w:val="99"/>
    <w:rsid w:val="00EF5317"/>
    <w:rPr>
      <w:sz w:val="20"/>
      <w:szCs w:val="20"/>
    </w:rPr>
  </w:style>
  <w:style w:type="paragraph" w:styleId="CommentSubject">
    <w:name w:val="annotation subject"/>
    <w:basedOn w:val="CommentText"/>
    <w:next w:val="CommentText"/>
    <w:link w:val="CommentSubjectChar"/>
    <w:uiPriority w:val="99"/>
    <w:semiHidden/>
    <w:unhideWhenUsed/>
    <w:rsid w:val="00EF5317"/>
    <w:rPr>
      <w:b/>
      <w:bCs/>
    </w:rPr>
  </w:style>
  <w:style w:type="character" w:customStyle="1" w:styleId="CommentSubjectChar">
    <w:name w:val="Comment Subject Char"/>
    <w:basedOn w:val="CommentTextChar"/>
    <w:link w:val="CommentSubject"/>
    <w:uiPriority w:val="99"/>
    <w:semiHidden/>
    <w:rsid w:val="00EF531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c4c5cd-9194-4492-988a-ec9e44e4af6e">
      <Terms xmlns="http://schemas.microsoft.com/office/infopath/2007/PartnerControls"/>
    </lcf76f155ced4ddcb4097134ff3c332f>
    <TaxCatchAll xmlns="089b5b85-001b-4dc9-a433-93eda33b40d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B51C358119094085384931373D9528" ma:contentTypeVersion="11" ma:contentTypeDescription="Create a new document." ma:contentTypeScope="" ma:versionID="ca19d04e83db4815f87bc6e0e98bdf00">
  <xsd:schema xmlns:xsd="http://www.w3.org/2001/XMLSchema" xmlns:xs="http://www.w3.org/2001/XMLSchema" xmlns:p="http://schemas.microsoft.com/office/2006/metadata/properties" xmlns:ns2="a4c4c5cd-9194-4492-988a-ec9e44e4af6e" xmlns:ns3="089b5b85-001b-4dc9-a433-93eda33b40de" targetNamespace="http://schemas.microsoft.com/office/2006/metadata/properties" ma:root="true" ma:fieldsID="5c8a547905b35e7b9c44e54df16faae6" ns2:_="" ns3:_="">
    <xsd:import namespace="a4c4c5cd-9194-4492-988a-ec9e44e4af6e"/>
    <xsd:import namespace="089b5b85-001b-4dc9-a433-93eda33b40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4c5cd-9194-4492-988a-ec9e44e4a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cb2b71a-ac8b-4347-9f63-f75d234e245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9b5b85-001b-4dc9-a433-93eda33b40d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68e9b3d-59c6-422f-9079-7fcbbd512183}" ma:internalName="TaxCatchAll" ma:showField="CatchAllData" ma:web="089b5b85-001b-4dc9-a433-93eda33b40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7C4002-A84A-41C4-A845-AE07ADF292E2}">
  <ds:schemaRefs>
    <ds:schemaRef ds:uri="http://schemas.microsoft.com/sharepoint/v3/contenttype/forms"/>
  </ds:schemaRefs>
</ds:datastoreItem>
</file>

<file path=customXml/itemProps2.xml><?xml version="1.0" encoding="utf-8"?>
<ds:datastoreItem xmlns:ds="http://schemas.openxmlformats.org/officeDocument/2006/customXml" ds:itemID="{6E535916-B153-4F20-A4F3-ED31CEA1EC0D}">
  <ds:schemaRefs>
    <ds:schemaRef ds:uri="http://purl.org/dc/dcmitype/"/>
    <ds:schemaRef ds:uri="http://www.w3.org/XML/1998/namespace"/>
    <ds:schemaRef ds:uri="http://purl.org/dc/elements/1.1/"/>
    <ds:schemaRef ds:uri="http://schemas.microsoft.com/office/2006/metadata/properties"/>
    <ds:schemaRef ds:uri="http://purl.org/dc/terms/"/>
    <ds:schemaRef ds:uri="http://schemas.microsoft.com/sharepoint/v3"/>
    <ds:schemaRef ds:uri="http://schemas.microsoft.com/office/infopath/2007/PartnerControls"/>
    <ds:schemaRef ds:uri="http://schemas.microsoft.com/office/2006/documentManagement/types"/>
    <ds:schemaRef ds:uri="http://schemas.openxmlformats.org/package/2006/metadata/core-properties"/>
    <ds:schemaRef ds:uri="9b243d2c-03be-4d86-bfda-956aa244ff66"/>
    <ds:schemaRef ds:uri="1cc24168-f8ea-4f10-9820-84c07b0c5512"/>
    <ds:schemaRef ds:uri="a4c4c5cd-9194-4492-988a-ec9e44e4af6e"/>
    <ds:schemaRef ds:uri="089b5b85-001b-4dc9-a433-93eda33b40de"/>
  </ds:schemaRefs>
</ds:datastoreItem>
</file>

<file path=customXml/itemProps3.xml><?xml version="1.0" encoding="utf-8"?>
<ds:datastoreItem xmlns:ds="http://schemas.openxmlformats.org/officeDocument/2006/customXml" ds:itemID="{F9A62116-2496-45DA-B326-3B9B564D3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4c5cd-9194-4492-988a-ec9e44e4af6e"/>
    <ds:schemaRef ds:uri="089b5b85-001b-4dc9-a433-93eda33b4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fa792cf-7768-4341-8857-81754c2afa1f}" enabled="0" method="" siteId="{cfa792cf-7768-4341-8857-81754c2afa1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49</Words>
  <Characters>359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Western Governors University</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Temkiewicz</dc:creator>
  <cp:lastModifiedBy>Faye Kagele</cp:lastModifiedBy>
  <cp:revision>4</cp:revision>
  <dcterms:created xsi:type="dcterms:W3CDTF">2025-04-08T18:13:00Z</dcterms:created>
  <dcterms:modified xsi:type="dcterms:W3CDTF">2025-10-28T16:27:00Z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0x01010004B51C358119094085384931373D9528</vt:lpwstr>
  </property>
  <property fmtid="{D5CDD505-2E9C-101B-9397-08002B2CF9AE}" pid="3" name="GrammarlyDocumentId">
    <vt:lpwstr>2127a8bdfc0d1f8206553062b26418c05100c0f3a0c619a61b868630625d51b8</vt:lpwstr>
  </property>
  <property fmtid="{D5CDD505-2E9C-101B-9397-08002B2CF9AE}" pid="4" name="Order">
    <vt:r8>11300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