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85113" w:rsidRDefault="00E85113" w:rsidP="006E518A">
      <w:pPr>
        <w:pStyle w:val="Title"/>
        <w:contextualSpacing/>
      </w:pPr>
    </w:p>
    <w:p w14:paraId="00000002" w14:textId="77777777" w:rsidR="00E85113" w:rsidRDefault="00E85113" w:rsidP="006E518A">
      <w:pPr>
        <w:pStyle w:val="Title"/>
        <w:contextualSpacing/>
      </w:pPr>
    </w:p>
    <w:p w14:paraId="00000003" w14:textId="77777777" w:rsidR="00E85113" w:rsidRDefault="00E85113" w:rsidP="006E518A">
      <w:pPr>
        <w:pStyle w:val="Title"/>
        <w:contextualSpacing/>
      </w:pPr>
    </w:p>
    <w:p w14:paraId="00000004" w14:textId="77777777" w:rsidR="00E85113" w:rsidRDefault="00E85113" w:rsidP="006E518A">
      <w:pPr>
        <w:pStyle w:val="Title"/>
        <w:contextualSpacing/>
      </w:pPr>
    </w:p>
    <w:p w14:paraId="00000005" w14:textId="77777777" w:rsidR="00E85113" w:rsidRDefault="00E26A28" w:rsidP="006E518A">
      <w:pPr>
        <w:pStyle w:val="Title"/>
        <w:contextualSpacing/>
      </w:pPr>
      <w:r>
        <w:t>Business Analysis: Everwood Outdoor Supply Co. (Illustrative Example)</w:t>
      </w:r>
    </w:p>
    <w:p w14:paraId="00000006" w14:textId="77777777" w:rsidR="00E85113" w:rsidRDefault="00E26A28" w:rsidP="006E518A">
      <w:pPr>
        <w:pStyle w:val="Title"/>
        <w:contextualSpacing/>
      </w:pPr>
      <w:r>
        <w:t>[Your Name] — Built from Gradevia’s C216 Task 2 guide</w:t>
      </w:r>
    </w:p>
    <w:p w14:paraId="00000007" w14:textId="77777777" w:rsidR="00E85113" w:rsidRDefault="00E26A28" w:rsidP="006E518A">
      <w:pPr>
        <w:ind w:firstLine="0"/>
        <w:contextualSpacing/>
        <w:jc w:val="center"/>
      </w:pPr>
      <w:r>
        <w:t>Western Governors University</w:t>
      </w:r>
    </w:p>
    <w:p w14:paraId="00000008" w14:textId="77777777" w:rsidR="00E85113" w:rsidRDefault="00E85113" w:rsidP="006E518A">
      <w:pPr>
        <w:contextualSpacing/>
      </w:pPr>
    </w:p>
    <w:p w14:paraId="00000009" w14:textId="77777777" w:rsidR="00E85113" w:rsidRDefault="00E85113" w:rsidP="006E518A">
      <w:pPr>
        <w:contextualSpacing/>
        <w:jc w:val="center"/>
      </w:pPr>
    </w:p>
    <w:p w14:paraId="0000000A" w14:textId="77777777" w:rsidR="00E85113" w:rsidRDefault="00E26A28" w:rsidP="006E518A">
      <w:pPr>
        <w:pStyle w:val="Title"/>
        <w:contextualSpacing/>
      </w:pPr>
      <w:r>
        <w:br w:type="page"/>
      </w:r>
    </w:p>
    <w:p w14:paraId="00000015" w14:textId="0A1BF9D7" w:rsidR="00E85113" w:rsidRPr="003A663B" w:rsidRDefault="004A6C91" w:rsidP="006E518A">
      <w:pPr>
        <w:pStyle w:val="Heading1"/>
        <w:contextualSpacing/>
        <w:rPr>
          <w:sz w:val="28"/>
          <w:szCs w:val="28"/>
        </w:rPr>
      </w:pPr>
      <w:r>
        <w:rPr>
          <w:sz w:val="28"/>
          <w:szCs w:val="28"/>
        </w:rPr>
        <w:lastRenderedPageBreak/>
        <w:t>Business Analysis</w:t>
      </w:r>
    </w:p>
    <w:p w14:paraId="00000019" w14:textId="5071AEC0" w:rsidR="00E85113" w:rsidRDefault="00BA0124" w:rsidP="006E518A">
      <w:pPr>
        <w:pStyle w:val="Heading2"/>
        <w:contextualSpacing/>
        <w:jc w:val="center"/>
      </w:pPr>
      <w:bookmarkStart w:id="0" w:name="_eswcc8ug88n6" w:colFirst="0" w:colLast="0"/>
      <w:bookmarkEnd w:id="0"/>
      <w:r>
        <w:t>Reflection on Decision-Making</w:t>
      </w:r>
    </w:p>
    <w:p w14:paraId="78125480" w14:textId="683720A6" w:rsidR="004A6C91" w:rsidRDefault="004A6C91" w:rsidP="006E518A">
      <w:pPr>
        <w:pStyle w:val="Heading3"/>
        <w:ind w:firstLine="0"/>
        <w:contextualSpacing/>
        <w:rPr>
          <w:sz w:val="24"/>
          <w:szCs w:val="24"/>
        </w:rPr>
      </w:pPr>
      <w:r>
        <w:rPr>
          <w:sz w:val="24"/>
          <w:szCs w:val="24"/>
        </w:rPr>
        <w:t>Corporate Strategic Thrusts</w:t>
      </w:r>
    </w:p>
    <w:p w:rsidR="00000000" w:rsidRDefault="00000000">
      <w:pPr>
        <w:pStyle w:val="NoSpacing"/>
        <w:spacing w:line="480" w:lineRule="auto"/>
        <w:ind w:firstLine="0"/>
      </w:pPr>
      <w:r>
        <w:t xml:space="preserve">Everwood Outdoor Supply Co. selected four corporate strategic thrusts to guide its Q1 through Q6 growth plan: Cost Leadership through Supplier Renegotiation, Product Innovation, Market Channel Expansion, and Customer Loyalty. Each thrust reflects one of the priorities management identified after a competitive review at the end of Q1: control per-unit material cost, differentiate the product line against lower-priced imports, reduce dependence on wholesale distributors, and build repeat-purchase behavior in a category where customers historically buy infrequently.</w:t>
      </w:r>
    </w:p>
    <w:p w14:paraId="1543E862" w14:textId="3DD0EE16" w:rsidR="004A6C91" w:rsidRDefault="004A6C91" w:rsidP="006E518A">
      <w:pPr>
        <w:pStyle w:val="Heading3"/>
        <w:ind w:firstLine="0"/>
        <w:contextualSpacing/>
        <w:rPr>
          <w:sz w:val="24"/>
          <w:szCs w:val="24"/>
        </w:rPr>
      </w:pPr>
      <w:r>
        <w:rPr>
          <w:sz w:val="24"/>
          <w:szCs w:val="24"/>
        </w:rPr>
        <w:t>Four Business Decisions</w:t>
      </w:r>
    </w:p>
    <w:p w:rsidR="00000000" w:rsidRDefault="00000000">
      <w:pPr>
        <w:pStyle w:val="NoSpacing"/>
        <w:spacing w:line="480" w:lineRule="auto"/>
        <w:ind w:firstLine="0"/>
      </w:pPr>
      <w:r>
        <w:t xml:space="preserve">Under the Cost Leadership thrust, management renegotiated the company's ripstop nylon supplier contracts in Q2, consolidating purchasing with a single mill in exchange for a volume-based per-yard discount. This decision was a direct expression of the thrust because it targeted unit material cost specifically, lowering the average cost per backpack unit from $34.20 in Q1 to $29.80 by Q3.</w:t>
      </w:r>
    </w:p>
    <w:p w:rsidR="00000000" w:rsidRDefault="00000000">
      <w:pPr>
        <w:pStyle w:val="NoSpacing"/>
        <w:spacing w:line="480" w:lineRule="auto"/>
        <w:ind w:firstLine="720"/>
      </w:pPr>
      <w:r>
        <w:t xml:space="preserve">Under the Product Innovation thrust, management launched an ultralight tent line in Q4 using a new silicone-coated fabric technology, positioning the product against premium competitors rather than competing on price alone. The decision followed directly from the thrust because it required the company's first meaningful investment in proprietary material technology rather than incremental improvements to existing designs.</w:t>
      </w:r>
    </w:p>
    <w:p w:rsidR="00000000" w:rsidRDefault="00000000">
      <w:pPr>
        <w:pStyle w:val="NoSpacing"/>
        <w:spacing w:line="480" w:lineRule="auto"/>
        <w:ind w:firstLine="720"/>
      </w:pPr>
      <w:r>
        <w:t xml:space="preserve">Under the Market Channel Expansion thrust, management launched a direct-to-consumer e-commerce platform in Q3, selling directly to customers for the first time after six years as a wholesale-only manufacturer. This decision operationalized the thrust because it reduced the company's reliance on wholesale distributor margins and gave Everwood direct access to customer purchasing data for the first time.</w:t>
      </w:r>
    </w:p>
    <w:p w:rsidR="00000000" w:rsidRDefault="00000000">
      <w:pPr>
        <w:pStyle w:val="NoSpacing"/>
        <w:spacing w:line="480" w:lineRule="auto"/>
        <w:ind w:firstLine="720"/>
      </w:pPr>
      <w:r>
        <w:t xml:space="preserve">Under the Customer Loyalty thrust, management introduced a lifetime warranty program in Q5, covering manufacturing defects and material failure for as long as the customer owns the product. This decision followed the thrust's logic of building repeat-purchase behavior in a category where the average customer historically replaced gear only once every five to seven years.</w:t>
      </w:r>
    </w:p>
    <w:p w14:paraId="572D94D9" w14:textId="706A3310" w:rsidR="004A6C91" w:rsidRDefault="004A6C91" w:rsidP="006E518A">
      <w:pPr>
        <w:pStyle w:val="Heading3"/>
        <w:ind w:firstLine="0"/>
        <w:contextualSpacing/>
        <w:rPr>
          <w:sz w:val="24"/>
          <w:szCs w:val="24"/>
        </w:rPr>
      </w:pPr>
      <w:r>
        <w:rPr>
          <w:sz w:val="24"/>
          <w:szCs w:val="24"/>
        </w:rPr>
        <w:t>Beneficial Decisions</w:t>
      </w:r>
    </w:p>
    <w:p w:rsidR="00000000" w:rsidRDefault="00000000">
      <w:pPr>
        <w:pStyle w:val="NoSpacing"/>
        <w:spacing w:line="480" w:lineRule="auto"/>
        <w:ind w:firstLine="0"/>
      </w:pPr>
      <w:r>
        <w:t xml:space="preserve">Two decisions stand out for their measurable benefit to the company. First, the Q2 supplier renegotiation under the Cost Leadership thrust lowered per-unit material cost every quarter from Q2 through Q6, taking gross margin from 31% in Q1 to 39% by Q6. Because production volume grew roughly in line with revenue across the same period, material cost was the single input that reliably declined each quarter, making this contract the largest identifiable contributor to the company's margin improvement.</w:t>
      </w:r>
    </w:p>
    <w:p w:rsidR="00000000" w:rsidRDefault="00000000">
      <w:pPr>
        <w:pStyle w:val="NoSpacing"/>
        <w:spacing w:line="480" w:lineRule="auto"/>
        <w:ind w:firstLine="720"/>
      </w:pPr>
      <w:r>
        <w:t xml:space="preserve">Second, the Q3 direct-to-consumer launch under the Market Channel Expansion thrust materially changed the company's margin structure. DTC sales carried an average 58% gross margin compared to 34% on wholesale orders, and by Q6, DTC accounted for 22% of total revenue. Beyond the margin benefit, the DTC platform gave the company its first direct customer data, which directly informed the lifetime warranty program's Q5 launch.</w:t>
      </w:r>
    </w:p>
    <w:p w14:paraId="67DF55BE" w14:textId="3E2987A4" w:rsidR="004A6C91" w:rsidRDefault="004A6C91" w:rsidP="006E518A">
      <w:pPr>
        <w:pStyle w:val="Heading3"/>
        <w:ind w:firstLine="0"/>
        <w:contextualSpacing/>
        <w:rPr>
          <w:sz w:val="24"/>
          <w:szCs w:val="24"/>
        </w:rPr>
      </w:pPr>
      <w:r>
        <w:rPr>
          <w:sz w:val="24"/>
          <w:szCs w:val="24"/>
        </w:rPr>
        <w:t>Decisions to Change</w:t>
      </w:r>
    </w:p>
    <w:p w:rsidR="00000000" w:rsidRDefault="00000000">
      <w:pPr>
        <w:pStyle w:val="NoSpacing"/>
        <w:spacing w:line="480" w:lineRule="auto"/>
        <w:ind w:firstLine="0"/>
      </w:pPr>
      <w:r>
        <w:t xml:space="preserve">Two decisions would be handled differently with the benefit of hindsight. First, management delayed the ultralight tent line's launch from an originally planned Q2 date to Q4, waiting for additional durability testing on the new fabric technology. That delay meant Everwood missed the peak spring camping season entirely, and competitor analysis suggests the company lost an estimated $140,000 in seasonal sales it could have captured with a Q2 launch. Next time, management would run durability testing in parallel with initial production tooling rather than sequentially, accepting a small quality-risk window in exchange for hitting the seasonal window.</w:t>
      </w:r>
    </w:p>
    <w:p w:rsidR="00000000" w:rsidRDefault="00000000">
      <w:pPr>
        <w:pStyle w:val="NoSpacing"/>
        <w:spacing w:line="480" w:lineRule="auto"/>
        <w:ind w:firstLine="720"/>
      </w:pPr>
      <w:r>
        <w:t xml:space="preserve">Second, the Q5 lifetime warranty program was priced without building sufficient warranty-reserve cost into the unit price increase. Actual warranty claims in Q5 and Q6 combined ran approximately $38,000 above the reserve management had budgeted, compressing margin on the affected product lines. With the claims data now available, management would build a larger initial reserve, roughly 2.5% of affected-line revenue rather than the 1.2% originally budgeted, and revisit the reserve quarterly against actual claims experience rather than setting it once at launch.</w:t>
      </w:r>
    </w:p>
    <w:p w14:paraId="46B064A8" w14:textId="77777777" w:rsidR="004A6C91" w:rsidRDefault="004A6C91" w:rsidP="006E518A">
      <w:pPr>
        <w:ind w:firstLine="0"/>
        <w:contextualSpacing/>
      </w:pPr>
    </w:p>
    <w:p w14:paraId="0000001B" w14:textId="603A1797" w:rsidR="00E85113" w:rsidRDefault="00BA0124" w:rsidP="006E518A">
      <w:pPr>
        <w:pStyle w:val="Heading2"/>
        <w:contextualSpacing/>
        <w:jc w:val="center"/>
      </w:pPr>
      <w:r>
        <w:t>Valuation and Return on Investment (ROI)</w:t>
      </w:r>
    </w:p>
    <w:p w14:paraId="0000001D" w14:textId="04E55150" w:rsidR="00E85113" w:rsidRDefault="004A6C91" w:rsidP="006E518A">
      <w:pPr>
        <w:pStyle w:val="Heading3"/>
        <w:ind w:firstLine="0"/>
        <w:contextualSpacing/>
        <w:rPr>
          <w:sz w:val="24"/>
          <w:szCs w:val="24"/>
        </w:rPr>
      </w:pPr>
      <w:bookmarkStart w:id="1" w:name="_5qol7xqvul6n" w:colFirst="0" w:colLast="0"/>
      <w:bookmarkEnd w:id="1"/>
      <w:r>
        <w:rPr>
          <w:sz w:val="24"/>
          <w:szCs w:val="24"/>
        </w:rPr>
        <w:t>Valuation of Company</w:t>
      </w:r>
    </w:p>
    <w:p w:rsidR="00000000" w:rsidRDefault="00000000">
      <w:pPr>
        <w:pStyle w:val="NoSpacing"/>
        <w:spacing w:line="480" w:lineRule="auto"/>
        <w:ind w:firstLine="0"/>
      </w:pPr>
      <w:r>
        <w:t xml:space="preserve">Everwood's valuation was estimated using the discounted cash flow (DCF) method, specifically the Gordon Growth perpetuity approach, which values a company as the present value of its future free cash flow discounted at a rate that reflects the risk of that cash flow.</w:t>
      </w:r>
    </w:p>
    <w:p w:rsidR="00000000" w:rsidRDefault="00000000">
      <w:pPr>
        <w:pStyle w:val="NoSpacing"/>
        <w:spacing w:line="480" w:lineRule="auto"/>
        <w:ind w:firstLine="720"/>
      </w:pPr>
      <w:r>
        <w:t xml:space="preserve">Calculation: Q6 quarterly operating cash flow of $185,000 was annualized to a $740,000 run-rate. Applying a 7% near-term growth assumption produced a forward twelve-month free cash flow estimate of $791,800 ($740,000 × 1.07). That figure was then capitalized using an 11% discount rate and a 3% terminal growth rate: $791,800 ÷ (0.11 − 0.03) = $9,897,500.</w:t>
      </w:r>
    </w:p>
    <w:p w:rsidR="00000000" w:rsidRDefault="00000000">
      <w:pPr>
        <w:pStyle w:val="NoSpacing"/>
        <w:spacing w:line="480" w:lineRule="auto"/>
        <w:ind w:firstLine="720"/>
      </w:pPr>
      <w:r>
        <w:t xml:space="preserve">Rationale for assumptions: the 11% discount rate reflects a small-cap consumer products manufacturer's blended cost of capital, consistent with Everwood's conservative 0.45 debt-to-equity ratio following its equity-financed expansion. The 7% near-term growth assumption was set below the company's realized compound quarterly growth rate to avoid overstating a run that included one-time gains from the DTC channel's early adoption curve. The 3% terminal growth rate reflects long-run economic growth and is a standard conservative assumption for a perpetuity calculation.</w:t>
      </w:r>
    </w:p>
    <w:p w:rsidR="00000000" w:rsidRDefault="00000000">
      <w:pPr>
        <w:pStyle w:val="NoSpacing"/>
        <w:spacing w:line="480" w:lineRule="auto"/>
        <w:ind w:firstLine="720"/>
      </w:pPr>
      <w:r>
        <w:t xml:space="preserve">Financial data used: Q6 operating cash flow from the cash flow statement, the six-quarter revenue and margin trend from the income statement, and the Q6 debt-to-equity ratio from the balance sheet.</w:t>
      </w:r>
    </w:p>
    <w:p w14:paraId="0000001F" w14:textId="47094F64" w:rsidR="00E85113" w:rsidRDefault="004A6C91" w:rsidP="006E518A">
      <w:pPr>
        <w:pStyle w:val="Heading3"/>
        <w:ind w:firstLine="0"/>
        <w:contextualSpacing/>
        <w:rPr>
          <w:sz w:val="24"/>
          <w:szCs w:val="24"/>
        </w:rPr>
      </w:pPr>
      <w:bookmarkStart w:id="2" w:name="_rhiwzorcgasm" w:colFirst="0" w:colLast="0"/>
      <w:bookmarkEnd w:id="2"/>
      <w:r>
        <w:rPr>
          <w:sz w:val="24"/>
          <w:szCs w:val="24"/>
        </w:rPr>
        <w:t>Return on Investment (ROI)</w:t>
      </w:r>
    </w:p>
    <w:p w:rsidR="00000000" w:rsidRDefault="00000000">
      <w:pPr>
        <w:pStyle w:val="NoSpacing"/>
        <w:spacing w:line="480" w:lineRule="auto"/>
        <w:ind w:firstLine="0"/>
      </w:pPr>
      <w:r>
        <w:t xml:space="preserve">Using the valuation calculated in Part A3a, Everwood's estimated ROI on its $3.5M equity raise was calculated as follows. Applying the same DCF method to the company's Q3 financial position, before the raise was fully deployed, produces a baseline valuation of $5,082,500 (Q3 operating cash flow of $95,000, annualized to $380,000, grown 7% to $406,600, and capitalized at 0.08: $406,600 ÷ 0.08 = $5,082,500). The Q6 valuation of $9,897,500, less that $5,082,500 baseline, equals $4,815,000 in value created. Subtracting the $3.5M invested leaves a return of $1,315,000.</w:t>
      </w:r>
    </w:p>
    <w:p w:rsidR="00000000" w:rsidRDefault="00000000">
      <w:pPr>
        <w:pStyle w:val="NoSpacing"/>
        <w:spacing w:line="480" w:lineRule="auto"/>
        <w:ind w:firstLine="720"/>
      </w:pPr>
      <w:r>
        <w:t xml:space="preserve">ROI = (Return ÷ Investment) × 100 = ($1,315,000 ÷ $3,500,000) × 100 = 37.6%.</w:t>
      </w:r>
    </w:p>
    <w:p w:rsidR="00000000" w:rsidRDefault="00000000">
      <w:pPr>
        <w:pStyle w:val="NoSpacing"/>
        <w:spacing w:line="480" w:lineRule="auto"/>
        <w:ind w:firstLine="720"/>
      </w:pPr>
      <w:r>
        <w:t xml:space="preserve">This 37.6% return exceeds the 11% discount rate used to value the company by a wide margin, indicating the capital deployed across the product innovation and channel expansion initiatives created value well above its cost of capital. Investors should weigh two considerations, however: a meaningful share of the value creation is concentrated in the DTC channel's early growth curve, which may moderate as the channel matures, and the valuation is sensitive to the underlying rate assumptions. Raising the discount rate by a single percentage point, from 11% to 12%, would lower the estimated valuation by roughly 11%, which would still leave the investment well above breakeven but is worth disclosing rather than treating the 37.6% figure as guaranteed.</w:t>
      </w:r>
    </w:p>
    <w:p w14:paraId="3E2A68B4" w14:textId="77777777" w:rsidR="003A663B" w:rsidRDefault="003A663B" w:rsidP="006E518A">
      <w:pPr>
        <w:pStyle w:val="NoSpacing"/>
        <w:spacing w:line="480" w:lineRule="auto"/>
        <w:contextualSpacing/>
      </w:pPr>
      <w:bookmarkStart w:id="3" w:name="_nnfelw5uywnv" w:colFirst="0" w:colLast="0"/>
      <w:bookmarkEnd w:id="3"/>
    </w:p>
    <w:p w14:paraId="00000022" w14:textId="50308DD7" w:rsidR="00E85113" w:rsidRDefault="004A6C91" w:rsidP="006E518A">
      <w:pPr>
        <w:pStyle w:val="Heading1"/>
        <w:ind w:firstLine="0"/>
        <w:contextualSpacing/>
      </w:pPr>
      <w:r>
        <w:t>Overall Financial Performance</w:t>
      </w:r>
    </w:p>
    <w:p w14:paraId="29C2497A" w14:textId="2293D504" w:rsidR="004A6C91" w:rsidRDefault="004A6C91" w:rsidP="006E518A">
      <w:pPr>
        <w:pStyle w:val="Heading2"/>
        <w:contextualSpacing/>
      </w:pPr>
      <w:r>
        <w:t xml:space="preserve">Financial Ratios</w:t>
      </w:r>
    </w:p>
    <w:p w:rsidR="00000000" w:rsidRDefault="00000000">
      <w:pPr>
        <w:pStyle w:val="NoSpacing"/>
        <w:spacing w:line="480" w:lineRule="auto"/>
        <w:ind w:firstLine="0"/>
      </w:pPr>
      <w:r>
        <w:t xml:space="preserve">Everwood's Q6 financial ratios were evaluated against industry benchmarks for small-to-midsize outdoor equipment manufacturers, one metric from each required category.</w:t>
      </w:r>
    </w:p>
    <w:p w:rsidR="00000000" w:rsidRDefault="00000000">
      <w:pPr>
        <w:pStyle w:val="NoSpacing"/>
        <w:spacing w:line="480" w:lineRule="auto"/>
        <w:ind w:firstLine="720"/>
      </w:pPr>
      <w:r>
        <w:t xml:space="preserve">Liquidity — Current Ratio: Everwood's Q6 current ratio was 2.1, above the industry benchmark range of 1.4 to 1.8. This indicates a stronger-than-typical short-term cushion, reflecting cash retained from the equity raise that had not yet been fully deployed into the tent line's continued tooling investment by the end of Q6.</w:t>
      </w:r>
    </w:p>
    <w:p w:rsidR="00000000" w:rsidRDefault="00000000">
      <w:pPr>
        <w:pStyle w:val="NoSpacing"/>
        <w:spacing w:line="480" w:lineRule="auto"/>
        <w:ind w:firstLine="720"/>
      </w:pPr>
      <w:r>
        <w:t xml:space="preserve">Activity — Inventory Turnover: Everwood's Q6 inventory turnover was 5.8 times, above the industry benchmark of 4.0 to 5.5 times. This indicates the company cycles seasonal inventory faster than the industry norm, consistent with the DTC channel's shorter order-to-fulfillment cycle compared to the wholesale distribution model the company relied on exclusively before Q3.</w:t>
      </w:r>
    </w:p>
    <w:p w:rsidR="00000000" w:rsidRDefault="00000000">
      <w:pPr>
        <w:pStyle w:val="NoSpacing"/>
        <w:spacing w:line="480" w:lineRule="auto"/>
        <w:ind w:firstLine="720"/>
      </w:pPr>
      <w:r>
        <w:t xml:space="preserve">Leverage — Debt-to-Equity: Everwood's Q6 debt-to-equity ratio was 0.45, below the industry benchmark of 0.7 to 1.0. This indicates conservative leverage following the expansion, since the $3.5M raise was structured as equity rather than debt, leaving borrowing capacity available for future growth without further diluting ownership.</w:t>
      </w:r>
    </w:p>
    <w:p w:rsidR="00000000" w:rsidRDefault="00000000">
      <w:pPr>
        <w:pStyle w:val="NoSpacing"/>
        <w:spacing w:line="480" w:lineRule="auto"/>
        <w:ind w:firstLine="720"/>
      </w:pPr>
      <w:r>
        <w:t xml:space="preserve">Profitability — Net Profit Margin: Everwood's Q6 net profit margin was 13.2%, above the industry benchmark of 8% to 11%. This indicates the cost leadership thrust and the DTC channel's higher per-unit margin are converting sales into profit more efficiently than the typical industry participant, though the comparison should be revisited as DTC's share of total revenue continues to grow and change the company's overall cost structure.</w:t>
      </w:r>
    </w:p>
    <w:p w14:paraId="079945E3" w14:textId="3B32094F" w:rsidR="004A6C91" w:rsidRDefault="004A6C91" w:rsidP="006E518A">
      <w:pPr>
        <w:pStyle w:val="Heading2"/>
        <w:contextualSpacing/>
      </w:pPr>
      <w:r>
        <w:t>Cash Flow Analysis</w:t>
      </w:r>
    </w:p>
    <w:p w:rsidR="00000000" w:rsidRDefault="00000000">
      <w:pPr>
        <w:pStyle w:val="NoSpacing"/>
        <w:spacing w:line="480" w:lineRule="auto"/>
        <w:ind w:firstLine="0"/>
      </w:pPr>
      <w:r>
        <w:t xml:space="preserve">Everwood's Q6 cash flow activity, including totals, breaks down across the following categories.</w:t>
      </w:r>
    </w:p>
    <w:p w:rsidR="00000000" w:rsidRDefault="00000000">
      <w:pPr>
        <w:pStyle w:val="NoSpacing"/>
        <w:spacing w:line="480" w:lineRule="auto"/>
        <w:ind w:firstLine="720"/>
      </w:pPr>
      <w:r>
        <w:t xml:space="preserve">Cash balances: the quarter began with $410,000 in cash and ended with $595,000, a net increase of $185,000.</w:t>
      </w:r>
    </w:p>
    <w:p w:rsidR="00000000" w:rsidRDefault="00000000">
      <w:pPr>
        <w:pStyle w:val="NoSpacing"/>
        <w:spacing w:line="480" w:lineRule="auto"/>
        <w:ind w:firstLine="720"/>
      </w:pPr>
      <w:r>
        <w:t xml:space="preserve">Cash flow from operating activities: $185,000, generated by core backpack, tent, and accessory sales across both the wholesale and DTC channels.</w:t>
      </w:r>
    </w:p>
    <w:p w:rsidR="00000000" w:rsidRDefault="00000000">
      <w:pPr>
        <w:pStyle w:val="NoSpacing"/>
        <w:spacing w:line="480" w:lineRule="auto"/>
        <w:ind w:firstLine="720"/>
      </w:pPr>
      <w:r>
        <w:t xml:space="preserve">Cash flow from investing activities: -$120,000, reflecting continued tooling and equipment investment to scale the ultralight tent line's production capacity.</w:t>
      </w:r>
    </w:p>
    <w:p w:rsidR="00000000" w:rsidRDefault="00000000">
      <w:pPr>
        <w:pStyle w:val="NoSpacing"/>
        <w:spacing w:line="480" w:lineRule="auto"/>
        <w:ind w:firstLine="720"/>
      </w:pPr>
      <w:r>
        <w:t xml:space="preserve">Cash flow from financing activities: $0, since the $3.5M equity raise closed prior to Q6 and no new financing activity occurred during the quarter.</w:t>
      </w:r>
    </w:p>
    <w:p w:rsidR="00000000" w:rsidRDefault="00000000">
      <w:pPr>
        <w:pStyle w:val="NoSpacing"/>
        <w:spacing w:line="480" w:lineRule="auto"/>
        <w:ind w:firstLine="720"/>
      </w:pPr>
      <w:r>
        <w:t xml:space="preserve">Together, these cash flow activities indicate that Everwood's tent line expansion is now funding its own continued build-out entirely from operating cash flow, without requiring additional capital. The company generated enough operating cash in Q6 to cover its $120,000 in continued capital spending and still grow its cash position by $185,000, a healthier pattern than Q1, when operating cash flow was a modest $28,000 and the company had little cushion against a slow sales month.</w:t>
      </w:r>
    </w:p>
    <w:p w14:paraId="1B6E4B2C" w14:textId="5B199654" w:rsidR="00781D28" w:rsidRDefault="00781D28" w:rsidP="006E518A">
      <w:pPr>
        <w:pStyle w:val="Heading2"/>
        <w:contextualSpacing/>
      </w:pPr>
      <w:r>
        <w:t>Conscious Scorecard Decisions</w:t>
      </w:r>
    </w:p>
    <w:p w:rsidR="00000000" w:rsidRDefault="00000000">
      <w:pPr>
        <w:pStyle w:val="NoSpacing"/>
        <w:spacing w:line="480" w:lineRule="auto"/>
        <w:ind w:firstLine="0"/>
      </w:pPr>
      <w:r>
        <w:t xml:space="preserve">Three decisions shown on Everwood's conscious scorecard affected company performance across Q3 through Q6.</w:t>
      </w:r>
    </w:p>
    <w:p w:rsidR="00000000" w:rsidRDefault="00000000">
      <w:pPr>
        <w:pStyle w:val="NoSpacing"/>
        <w:spacing w:line="480" w:lineRule="auto"/>
        <w:ind w:firstLine="720"/>
      </w:pPr>
      <w:r>
        <w:t xml:space="preserve">First, switching 30% of the product line to recycled ripstop nylon (Q3, environmental category) raised material cost modestly but improved the scorecard's environmental index and strengthened the same supplier relationship central to the Cost Leadership thrust described in Part A1, since the recycled-material shift was negotiated as part of the broader Q2 supplier consolidation.</w:t>
      </w:r>
    </w:p>
    <w:p w:rsidR="00000000" w:rsidRDefault="00000000">
      <w:pPr>
        <w:pStyle w:val="NoSpacing"/>
        <w:spacing w:line="480" w:lineRule="auto"/>
        <w:ind w:firstLine="720"/>
      </w:pPr>
      <w:r>
        <w:t xml:space="preserve">Second, implementing a repair-not-replace servicing model for warranty claims (Q5, environmental and customer categories) raised the scorecard's customer trust index and reduced landfill waste from returned gear, though it required additional repair-technician staffing that added a modest ongoing cost the original warranty reserve did not fully anticipate, directly connected to the Decisions to Change discussion in Part A2b.</w:t>
      </w:r>
    </w:p>
    <w:p w:rsidR="00000000" w:rsidRDefault="00000000">
      <w:pPr>
        <w:pStyle w:val="NoSpacing"/>
        <w:spacing w:line="480" w:lineRule="auto"/>
        <w:ind w:firstLine="720"/>
      </w:pPr>
      <w:r>
        <w:t xml:space="preserve">Third, partnering with a domestic contract manufacturer for the ultralight tent line rather than the lowest-cost overseas option (Q4, community and labor category) raised unit cost by an estimated $4.10 per tent but improved the scorecard's labor-practice rating and reduced the supply chain disruption risk that a longer overseas shipping lane would have introduced during the delayed Q4 launch. Taken together, these three decisions show a consistent pattern: each traded a measurable short-term cost for a scorecard gain in a non-financial category, and each remained affordable within a quarter where operating cash flow was positive and growing.</w:t>
      </w:r>
    </w:p>
    <w:p w14:paraId="7EB9B002" w14:textId="77777777" w:rsidR="00D563DE" w:rsidRPr="00D563DE" w:rsidRDefault="00D563DE" w:rsidP="006E518A">
      <w:pPr>
        <w:ind w:firstLine="0"/>
      </w:pPr>
    </w:p>
    <w:p>
      <w:pPr>
        <w:pStyle w:val="Heading1"/>
        <w:contextualSpacing/>
      </w:pPr>
      <w:r>
        <w:t>References</w:t>
      </w:r>
    </w:p>
    <w:p>
      <w:pPr>
        <w:pStyle w:val="NoSpacing"/>
        <w:spacing w:line="480" w:lineRule="auto"/>
        <w:ind w:left="720" w:hanging="720"/>
      </w:pPr>
      <w:r>
        <w:t xml:space="preserve">Ayoush, M. D., Toumeh, A. A., &amp; Shabaneh, K. I. (2021). Liquidity, leverage, and solvency: What affects profitability of industrial enterprises the most? Investment Management and Financial Innovations, 18(3), 249–259. https://doi.org/10.21511/imfi.18(3).2021.22</w:t>
      </w:r>
    </w:p>
    <w:p>
      <w:pPr>
        <w:pStyle w:val="NoSpacing"/>
        <w:spacing w:line="480" w:lineRule="auto"/>
        <w:ind w:left="720" w:hanging="720"/>
      </w:pPr>
      <w:r>
        <w:t xml:space="preserve">Dwivedi, Y. K., et al. (2022). Information signals and bias in investment decisions: A meta-analytic comparison of prediction and actual performance of new ventures. Journal of Business Research, 155, 113424. https://doi.org/10.1016/j.jbusres.2022.113424</w:t>
      </w:r>
    </w:p>
    <w:p>
      <w:pPr>
        <w:pStyle w:val="NoSpacing"/>
        <w:spacing w:line="480" w:lineRule="auto"/>
        <w:ind w:left="720" w:hanging="720"/>
      </w:pPr>
      <w:r>
        <w:t xml:space="preserve">Kumar, J., Prince, N., &amp; Baker, H. K. (2022). Balanced scorecard: A systematic literature review and future research issues. FIIB Business Review, 11(2), 147–161. https://doi.org/10.1177/23197145211049625</w:t>
      </w:r>
    </w:p>
    <w:p>
      <w:pPr>
        <w:pStyle w:val="NoSpacing"/>
        <w:spacing w:line="480" w:lineRule="auto"/>
        <w:ind w:left="720" w:hanging="720"/>
      </w:pPr>
      <w:r>
        <w:t xml:space="preserve">Silva, C. A. T. (2023). Discounted cash flow: Theoretical and practical aspects of its use. Advances in Scientific and Applied Accounting, 16(3), 199–208. https://doi.org/10.14392/asaa.2023160309</w:t>
      </w:r>
    </w:p>
    <w:p w14:paraId="00000023" w14:textId="75ECC9E3" w:rsidR="00E85113" w:rsidRDefault="00E85113" w:rsidP="006E518A">
      <w:pPr>
        <w:widowControl w:val="0"/>
        <w:pBdr>
          <w:top w:val="nil"/>
          <w:left w:val="nil"/>
          <w:bottom w:val="nil"/>
          <w:right w:val="nil"/>
          <w:between w:val="nil"/>
        </w:pBdr>
        <w:ind w:firstLine="0"/>
        <w:contextualSpacing/>
      </w:pPr>
    </w:p>
    <w:sectPr w:rsidR="00E85113">
      <w:headerReference w:type="even" r:id="rId9"/>
      <w:headerReference w:type="default" r:id="rId10"/>
      <w:headerReference w:type="first" r:id="rId11"/>
      <w:footerReference w:type="even" r:id="rId20"/>
      <w:footerReference w:type="default" r:id="rId21"/>
      <w:footerReference w:type="first" r:id="rId22"/>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C711E" w14:textId="77777777" w:rsidR="000605B9" w:rsidRDefault="000605B9">
      <w:pPr>
        <w:spacing w:line="240" w:lineRule="auto"/>
      </w:pPr>
      <w:r>
        <w:separator/>
      </w:r>
    </w:p>
  </w:endnote>
  <w:endnote w:type="continuationSeparator" w:id="0">
    <w:p w14:paraId="79DFADD8" w14:textId="77777777" w:rsidR="000605B9" w:rsidRDefault="000605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00001" w14:textId="1A000001" w:rsidR="00E85113" w:rsidRDefault="00E85113">
    <w:pPr>
      <w:pStyle w:val="NoSpacing"/>
      <w:ind w:firstLine="0"/>
      <w:jc w:val="center"/>
      <w:rPr>
        <w:i/>
        <w:sz w:val="18"/>
        <w:szCs w:val="18"/>
        <w:color w:val="595959"/>
      </w:rPr>
    </w:pPr>
    <w:r>
      <w:rPr>
        <w:i/>
        <w:sz w:val="18"/>
        <w:szCs w:val="18"/>
        <w:color w:val="595959"/>
      </w:rPr>
      <w:t>For illustration purposes only — not a submission-ready answer key. Need help completing your own C216 Task 2? Message Gradevia on WhatsApp: +1 (564) 544-6924.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00001" w14:textId="1A000001" w:rsidR="00E85113" w:rsidRDefault="00E85113">
    <w:pPr>
      <w:pStyle w:val="NoSpacing"/>
      <w:ind w:firstLine="0"/>
      <w:jc w:val="center"/>
      <w:rPr>
        <w:i/>
        <w:sz w:val="18"/>
        <w:szCs w:val="18"/>
        <w:color w:val="595959"/>
      </w:rPr>
    </w:pPr>
    <w:r>
      <w:rPr>
        <w:i/>
        <w:sz w:val="18"/>
        <w:szCs w:val="18"/>
        <w:color w:val="595959"/>
      </w:rPr>
      <w:t>For illustration purposes only — not a submission-ready answer key. Need help completing your own C216 Task 2? Message Gradevia on WhatsApp: +1 (564) 544-6924.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00001" w14:textId="1A000001" w:rsidR="00E85113" w:rsidRDefault="00E85113">
    <w:pPr>
      <w:pStyle w:val="NoSpacing"/>
      <w:ind w:firstLine="0"/>
      <w:jc w:val="center"/>
      <w:rPr>
        <w:i/>
        <w:sz w:val="18"/>
        <w:szCs w:val="18"/>
        <w:color w:val="595959"/>
      </w:rPr>
    </w:pPr>
    <w:r>
      <w:rPr>
        <w:i/>
        <w:sz w:val="18"/>
        <w:szCs w:val="18"/>
        <w:color w:val="595959"/>
      </w:rPr>
      <w:t>For illustration purposes only — not a submission-ready answer key. Need help completing your own C216 Task 2? Message Gradevia on WhatsApp: +1 (564) 544-6924.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3CF85" w14:textId="77777777" w:rsidR="000605B9" w:rsidRDefault="000605B9">
      <w:pPr>
        <w:spacing w:line="240" w:lineRule="auto"/>
      </w:pPr>
      <w:r>
        <w:separator/>
      </w:r>
    </w:p>
  </w:footnote>
  <w:footnote w:type="continuationSeparator" w:id="0">
    <w:p w14:paraId="13863510" w14:textId="77777777" w:rsidR="000605B9" w:rsidRDefault="000605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D" w14:textId="77777777" w:rsidR="00E85113" w:rsidRDefault="00E26A28">
    <w:pPr>
      <w:jc w:val="right"/>
    </w:pPr>
    <w:r>
      <w:fldChar w:fldCharType="begin"/>
    </w:r>
    <w:r>
      <w:instrText>PAGE</w:instrText>
    </w:r>
    <w:r>
      <w:fldChar w:fldCharType="end"/>
    </w:r>
  </w:p>
  <w:p w14:paraId="0000002E" w14:textId="77777777" w:rsidR="00E85113" w:rsidRDefault="00E85113">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B" w14:textId="3990BC4E" w:rsidR="00E85113" w:rsidRDefault="00E26A28">
    <w:pPr>
      <w:tabs>
        <w:tab w:val="right" w:pos="9360"/>
      </w:tabs>
      <w:ind w:firstLine="0"/>
    </w:pPr>
    <w:r>
      <w:t>TITLE OF THE PAPER</w:t>
    </w:r>
    <w:r>
      <w:tab/>
    </w:r>
    <w:r>
      <w:fldChar w:fldCharType="begin"/>
    </w:r>
    <w:r>
      <w:instrText>PAGE</w:instrText>
    </w:r>
    <w:r>
      <w:fldChar w:fldCharType="separate"/>
    </w:r>
    <w:r w:rsidR="00E96F80">
      <w:rPr>
        <w:noProof/>
      </w:rPr>
      <w:t>7</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C" w14:textId="4878B44D" w:rsidR="00E85113" w:rsidRDefault="00E26A28">
    <w:pPr>
      <w:tabs>
        <w:tab w:val="right" w:pos="9360"/>
      </w:tabs>
      <w:ind w:firstLine="0"/>
    </w:pPr>
    <w:r>
      <w:t>Running head: TITLE OF THE PAPER</w:t>
    </w:r>
    <w:r>
      <w:tab/>
    </w:r>
    <w:r>
      <w:fldChar w:fldCharType="begin"/>
    </w:r>
    <w:r>
      <w:instrText>PAGE</w:instrText>
    </w:r>
    <w:r>
      <w:fldChar w:fldCharType="separate"/>
    </w:r>
    <w:r w:rsidR="00E96F80">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113"/>
    <w:rsid w:val="000605B9"/>
    <w:rsid w:val="0017192A"/>
    <w:rsid w:val="003A663B"/>
    <w:rsid w:val="004A6C91"/>
    <w:rsid w:val="005F5AE9"/>
    <w:rsid w:val="00673094"/>
    <w:rsid w:val="006B03EB"/>
    <w:rsid w:val="006E518A"/>
    <w:rsid w:val="006E7FEA"/>
    <w:rsid w:val="007415EB"/>
    <w:rsid w:val="0074325E"/>
    <w:rsid w:val="00780A94"/>
    <w:rsid w:val="00781D28"/>
    <w:rsid w:val="007D2298"/>
    <w:rsid w:val="008B51F0"/>
    <w:rsid w:val="009A6AAF"/>
    <w:rsid w:val="009B2F8E"/>
    <w:rsid w:val="009E53F5"/>
    <w:rsid w:val="00AE3DAA"/>
    <w:rsid w:val="00B745D7"/>
    <w:rsid w:val="00B955C1"/>
    <w:rsid w:val="00BA0124"/>
    <w:rsid w:val="00CD4758"/>
    <w:rsid w:val="00CD789A"/>
    <w:rsid w:val="00D30922"/>
    <w:rsid w:val="00D563DE"/>
    <w:rsid w:val="00DC5EC5"/>
    <w:rsid w:val="00E26A28"/>
    <w:rsid w:val="00E357D3"/>
    <w:rsid w:val="00E85113"/>
    <w:rsid w:val="00E96F80"/>
    <w:rsid w:val="00EC46F9"/>
    <w:rsid w:val="00EF4543"/>
    <w:rsid w:val="00EF5317"/>
    <w:rsid w:val="00F96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42C980"/>
  <w15:docId w15:val="{D1FE2AAB-0D88-44E8-8584-3132D8F6F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jc w:val="center"/>
      <w:outlineLvl w:val="0"/>
    </w:pPr>
    <w:rPr>
      <w:b/>
    </w:rPr>
  </w:style>
  <w:style w:type="paragraph" w:styleId="Heading2">
    <w:name w:val="heading 2"/>
    <w:basedOn w:val="Normal"/>
    <w:next w:val="Normal"/>
    <w:pPr>
      <w:ind w:firstLine="0"/>
      <w:outlineLvl w:val="1"/>
    </w:pPr>
    <w:rPr>
      <w: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ind w:firstLine="0"/>
      <w:jc w:val="center"/>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NoSpacing">
    <w:name w:val="No Spacing"/>
    <w:uiPriority w:val="1"/>
    <w:qFormat/>
    <w:rsid w:val="003A663B"/>
    <w:pPr>
      <w:spacing w:line="240" w:lineRule="auto"/>
    </w:pPr>
  </w:style>
  <w:style w:type="paragraph" w:styleId="Revision">
    <w:name w:val="Revision"/>
    <w:hidden/>
    <w:uiPriority w:val="99"/>
    <w:semiHidden/>
    <w:rsid w:val="00E357D3"/>
    <w:pPr>
      <w:spacing w:line="240" w:lineRule="auto"/>
      <w:ind w:firstLine="0"/>
    </w:pPr>
  </w:style>
  <w:style w:type="character" w:styleId="CommentReference">
    <w:name w:val="annotation reference"/>
    <w:basedOn w:val="DefaultParagraphFont"/>
    <w:uiPriority w:val="99"/>
    <w:semiHidden/>
    <w:unhideWhenUsed/>
    <w:rsid w:val="00EF5317"/>
    <w:rPr>
      <w:sz w:val="16"/>
      <w:szCs w:val="16"/>
    </w:rPr>
  </w:style>
  <w:style w:type="paragraph" w:styleId="CommentText">
    <w:name w:val="annotation text"/>
    <w:basedOn w:val="Normal"/>
    <w:link w:val="CommentTextChar"/>
    <w:uiPriority w:val="99"/>
    <w:unhideWhenUsed/>
    <w:rsid w:val="00EF5317"/>
    <w:pPr>
      <w:spacing w:line="240" w:lineRule="auto"/>
    </w:pPr>
    <w:rPr>
      <w:sz w:val="20"/>
      <w:szCs w:val="20"/>
    </w:rPr>
  </w:style>
  <w:style w:type="character" w:customStyle="1" w:styleId="CommentTextChar">
    <w:name w:val="Comment Text Char"/>
    <w:basedOn w:val="DefaultParagraphFont"/>
    <w:link w:val="CommentText"/>
    <w:uiPriority w:val="99"/>
    <w:rsid w:val="00EF5317"/>
    <w:rPr>
      <w:sz w:val="20"/>
      <w:szCs w:val="20"/>
    </w:rPr>
  </w:style>
  <w:style w:type="paragraph" w:styleId="CommentSubject">
    <w:name w:val="annotation subject"/>
    <w:basedOn w:val="CommentText"/>
    <w:next w:val="CommentText"/>
    <w:link w:val="CommentSubjectChar"/>
    <w:uiPriority w:val="99"/>
    <w:semiHidden/>
    <w:unhideWhenUsed/>
    <w:rsid w:val="00EF5317"/>
    <w:rPr>
      <w:b/>
      <w:bCs/>
    </w:rPr>
  </w:style>
  <w:style w:type="character" w:customStyle="1" w:styleId="CommentSubjectChar">
    <w:name w:val="Comment Subject Char"/>
    <w:basedOn w:val="CommentTextChar"/>
    <w:link w:val="CommentSubject"/>
    <w:uiPriority w:val="99"/>
    <w:semiHidden/>
    <w:rsid w:val="00EF531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20" Type="http://schemas.openxmlformats.org/officeDocument/2006/relationships/footer" Target="footer1.xml"/><Relationship Id="rId21" Type="http://schemas.openxmlformats.org/officeDocument/2006/relationships/footer" Target="footer2.xm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4c4c5cd-9194-4492-988a-ec9e44e4af6e">
      <Terms xmlns="http://schemas.microsoft.com/office/infopath/2007/PartnerControls"/>
    </lcf76f155ced4ddcb4097134ff3c332f>
    <TaxCatchAll xmlns="089b5b85-001b-4dc9-a433-93eda33b40d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B51C358119094085384931373D9528" ma:contentTypeVersion="11" ma:contentTypeDescription="Create a new document." ma:contentTypeScope="" ma:versionID="ca19d04e83db4815f87bc6e0e98bdf00">
  <xsd:schema xmlns:xsd="http://www.w3.org/2001/XMLSchema" xmlns:xs="http://www.w3.org/2001/XMLSchema" xmlns:p="http://schemas.microsoft.com/office/2006/metadata/properties" xmlns:ns2="a4c4c5cd-9194-4492-988a-ec9e44e4af6e" xmlns:ns3="089b5b85-001b-4dc9-a433-93eda33b40de" targetNamespace="http://schemas.microsoft.com/office/2006/metadata/properties" ma:root="true" ma:fieldsID="5c8a547905b35e7b9c44e54df16faae6" ns2:_="" ns3:_="">
    <xsd:import namespace="a4c4c5cd-9194-4492-988a-ec9e44e4af6e"/>
    <xsd:import namespace="089b5b85-001b-4dc9-a433-93eda33b40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4c5cd-9194-4492-988a-ec9e44e4af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cb2b71a-ac8b-4347-9f63-f75d234e245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9b5b85-001b-4dc9-a433-93eda33b40d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68e9b3d-59c6-422f-9079-7fcbbd512183}" ma:internalName="TaxCatchAll" ma:showField="CatchAllData" ma:web="089b5b85-001b-4dc9-a433-93eda33b40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7C4002-A84A-41C4-A845-AE07ADF292E2}">
  <ds:schemaRefs>
    <ds:schemaRef ds:uri="http://schemas.microsoft.com/sharepoint/v3/contenttype/forms"/>
  </ds:schemaRefs>
</ds:datastoreItem>
</file>

<file path=customXml/itemProps2.xml><?xml version="1.0" encoding="utf-8"?>
<ds:datastoreItem xmlns:ds="http://schemas.openxmlformats.org/officeDocument/2006/customXml" ds:itemID="{6E535916-B153-4F20-A4F3-ED31CEA1EC0D}">
  <ds:schemaRefs>
    <ds:schemaRef ds:uri="http://purl.org/dc/dcmitype/"/>
    <ds:schemaRef ds:uri="http://www.w3.org/XML/1998/namespace"/>
    <ds:schemaRef ds:uri="http://purl.org/dc/elements/1.1/"/>
    <ds:schemaRef ds:uri="http://schemas.microsoft.com/office/2006/metadata/properties"/>
    <ds:schemaRef ds:uri="http://purl.org/dc/terms/"/>
    <ds:schemaRef ds:uri="http://schemas.microsoft.com/sharepoint/v3"/>
    <ds:schemaRef ds:uri="http://schemas.microsoft.com/office/infopath/2007/PartnerControls"/>
    <ds:schemaRef ds:uri="http://schemas.microsoft.com/office/2006/documentManagement/types"/>
    <ds:schemaRef ds:uri="http://schemas.openxmlformats.org/package/2006/metadata/core-properties"/>
    <ds:schemaRef ds:uri="9b243d2c-03be-4d86-bfda-956aa244ff66"/>
    <ds:schemaRef ds:uri="1cc24168-f8ea-4f10-9820-84c07b0c5512"/>
    <ds:schemaRef ds:uri="a4c4c5cd-9194-4492-988a-ec9e44e4af6e"/>
    <ds:schemaRef ds:uri="089b5b85-001b-4dc9-a433-93eda33b40de"/>
  </ds:schemaRefs>
</ds:datastoreItem>
</file>

<file path=customXml/itemProps3.xml><?xml version="1.0" encoding="utf-8"?>
<ds:datastoreItem xmlns:ds="http://schemas.openxmlformats.org/officeDocument/2006/customXml" ds:itemID="{F9A62116-2496-45DA-B326-3B9B564D3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4c5cd-9194-4492-988a-ec9e44e4af6e"/>
    <ds:schemaRef ds:uri="089b5b85-001b-4dc9-a433-93eda33b40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fa792cf-7768-4341-8857-81754c2afa1f}" enabled="0" method="" siteId="{cfa792cf-7768-4341-8857-81754c2afa1f}"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49</Words>
  <Characters>359</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Western Governors University</Company>
  <LinksUpToDate>false</LinksUpToDate>
  <CharactersWithSpaces>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Amanda Temkiewicz</dc:creator>
  <cp:lastModifiedBy>Faye Kagele</cp:lastModifiedBy>
  <cp:revision>4</cp:revision>
  <dcterms:created xsi:type="dcterms:W3CDTF">2025-04-08T18:13:00Z</dcterms:created>
  <dcterms:modified xsi:type="dcterms:W3CDTF">2025-10-28T16:27:00Z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0x01010004B51C358119094085384931373D9528</vt:lpwstr>
  </property>
  <property fmtid="{D5CDD505-2E9C-101B-9397-08002B2CF9AE}" pid="3" name="GrammarlyDocumentId">
    <vt:lpwstr>2127a8bdfc0d1f8206553062b26418c05100c0f3a0c619a61b868630625d51b8</vt:lpwstr>
  </property>
  <property fmtid="{D5CDD505-2E9C-101B-9397-08002B2CF9AE}" pid="4" name="Order">
    <vt:r8>11300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