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400"/>
        <w:jc w:val="center"/>
      </w:pPr>
      <w:r>
        <w:rPr>
          <w:rFonts w:ascii="Times New Roman" w:cs="Times New Roman" w:eastAsia="Times New Roman" w:hAnsi="Times New Roman"/>
          <w:b/>
          <w:bCs/>
          <w:color w:val="B00000"/>
          <w:sz w:val="32"/>
          <w:szCs w:val="32"/>
        </w:rPr>
        <w:t xml:space="preserve">FICTIONAL EXAMPLE FOR ILLUSTRATION ONLY</w:t>
      </w:r>
    </w:p>
    <w:p>
      <w:pPr>
        <w:spacing w:after="600"/>
        <w:jc w:val="center"/>
      </w:pPr>
      <w:r>
        <w:rPr>
          <w:rFonts w:ascii="Times New Roman" w:cs="Times New Roman" w:eastAsia="Times New Roman" w:hAnsi="Times New Roman"/>
          <w:b/>
          <w:bCs/>
          <w:color w:val="B00000"/>
          <w:sz w:val="28"/>
          <w:szCs w:val="28"/>
        </w:rPr>
        <w:t xml:space="preserve">Do Not Submit As Your Own Work</w:t>
      </w:r>
    </w:p>
    <w:p>
      <w:pPr>
        <w:spacing w:after="300" w:line="360"/>
        <w:jc w:val="center"/>
      </w:pPr>
      <w:r>
        <w:rPr>
          <w:rFonts w:ascii="Times New Roman" w:cs="Times New Roman" w:eastAsia="Times New Roman" w:hAnsi="Times New Roman"/>
          <w:sz w:val="24"/>
          <w:szCs w:val="24"/>
        </w:rPr>
        <w:t xml:space="preserve">This document is a fully APA 7th-edition-formatted illustration of the Herzing University BH700 Unit 1 Identify Topic and Setting assignment, provided by Gradevia for instructional purposes only.</w:t>
      </w:r>
    </w:p>
    <w:p>
      <w:pPr>
        <w:spacing w:after="300" w:line="360"/>
        <w:jc w:val="center"/>
      </w:pPr>
      <w:r>
        <w:rPr>
          <w:rFonts w:ascii="Times New Roman" w:cs="Times New Roman" w:eastAsia="Times New Roman" w:hAnsi="Times New Roman"/>
          <w:sz w:val="24"/>
          <w:szCs w:val="24"/>
        </w:rPr>
        <w:t xml:space="preserve">The site (Riverside Community Health Center), contact, dates, population figures, and internal data described in this document are </w:t>
      </w:r>
      <w:r>
        <w:rPr>
          <w:rFonts w:ascii="Times New Roman" w:cs="Times New Roman" w:eastAsia="Times New Roman" w:hAnsi="Times New Roman"/>
          <w:b/>
          <w:bCs/>
          <w:sz w:val="24"/>
          <w:szCs w:val="24"/>
        </w:rPr>
        <w:t xml:space="preserve">entirely fictional</w:t>
      </w:r>
      <w:r>
        <w:rPr>
          <w:rFonts w:ascii="Times New Roman" w:cs="Times New Roman" w:eastAsia="Times New Roman" w:hAnsi="Times New Roman"/>
          <w:sz w:val="24"/>
          <w:szCs w:val="24"/>
        </w:rPr>
        <w:t xml:space="preserve"> and were invented solely to demonstrate the level of specificity, reasoning, and APA formatting the assignment requires.</w:t>
      </w:r>
    </w:p>
    <w:p>
      <w:pPr>
        <w:spacing w:after="600" w:line="360"/>
        <w:jc w:val="center"/>
      </w:pPr>
      <w:r>
        <w:rPr>
          <w:rFonts w:ascii="Times New Roman" w:cs="Times New Roman" w:eastAsia="Times New Roman" w:hAnsi="Times New Roman"/>
          <w:sz w:val="24"/>
          <w:szCs w:val="24"/>
        </w:rPr>
        <w:t xml:space="preserve">Before submitting your own assignment, replace every detail in this document, not just the obvious placeholders, with verified information about your actual selected site, and confirm your submission against your current assignment instructions and rubric.</w:t>
      </w:r>
    </w:p>
    <w:p>
      <w:pPr>
        <w:spacing w:line="480" w:lineRule="auto"/>
        <w:jc w:val="center"/>
      </w:pPr>
      <w:r>
        <w:rPr>
          <w:rFonts w:ascii="Times New Roman" w:cs="Times New Roman" w:eastAsia="Times New Roman" w:hAnsi="Times New Roman"/>
          <w:i/>
          <w:iCs/>
          <w:sz w:val="20"/>
          <w:szCs w:val="20"/>
        </w:rPr>
        <w:t xml:space="preserve">Formatting reference courtesy of Gradevia. WhatsApp: +1 564-544-6924</w:t>
      </w:r>
    </w:p>
    <w:p>
      <w:pPr>
        <w:sectPr>
          <w:pgSz w:w="12240" w:h="15840" w:orient="portrait"/>
          <w:pgMar w:top="1440" w:right="1440" w:bottom="1440" w:left="1440" w:header="708" w:footer="708" w:gutter="0"/>
          <w:pgNumType/>
          <w:docGrid w:linePitch="360"/>
        </w:sectPr>
      </w:pPr>
    </w:p>
    <w:p>
      <w:pPr>
        <w:spacing w:before="2400"/>
      </w:pPr>
    </w:p>
    <w:p>
      <w:pPr>
        <w:spacing w:line="480" w:lineRule="auto"/>
        <w:jc w:val="center"/>
      </w:pPr>
      <w:r>
        <w:rPr>
          <w:rFonts w:ascii="Times New Roman" w:cs="Times New Roman" w:eastAsia="Times New Roman" w:hAnsi="Times New Roman"/>
          <w:b/>
          <w:bCs/>
          <w:sz w:val="24"/>
          <w:szCs w:val="24"/>
        </w:rPr>
        <w:t xml:space="preserve">Identify Topic and Setting</w:t>
      </w:r>
    </w:p>
    <w:p>
      <w:pPr>
        <w:spacing w:line="480" w:lineRule="auto"/>
        <w:jc w:val="center"/>
      </w:pPr>
      <w:r>
        <w:rPr>
          <w:rFonts w:ascii="Times New Roman" w:cs="Times New Roman" w:eastAsia="Times New Roman" w:hAnsi="Times New Roman"/>
          <w:sz w:val="24"/>
          <w:szCs w:val="24"/>
        </w:rPr>
        <w:t xml:space="preserve">Integrated Behavioral Health at Riverside Community Health Center</w:t>
      </w:r>
    </w:p>
    <w:p>
      <w:pPr>
        <w:spacing w:before="480"/>
      </w:pPr>
    </w:p>
    <w:p>
      <w:pPr>
        <w:spacing w:line="480" w:lineRule="auto"/>
        <w:jc w:val="center"/>
      </w:pPr>
      <w:r>
        <w:rPr>
          <w:rFonts w:ascii="Times New Roman" w:cs="Times New Roman" w:eastAsia="Times New Roman" w:hAnsi="Times New Roman"/>
          <w:sz w:val="24"/>
          <w:szCs w:val="24"/>
        </w:rPr>
        <w:t xml:space="preserve">[Your Name]</w:t>
      </w:r>
    </w:p>
    <w:p>
      <w:pPr>
        <w:spacing w:line="480" w:lineRule="auto"/>
        <w:jc w:val="center"/>
      </w:pPr>
      <w:r>
        <w:rPr>
          <w:rFonts w:ascii="Times New Roman" w:cs="Times New Roman" w:eastAsia="Times New Roman" w:hAnsi="Times New Roman"/>
          <w:sz w:val="24"/>
          <w:szCs w:val="24"/>
        </w:rPr>
        <w:t xml:space="preserve">Department of Behavioral Health, Herzing University</w:t>
      </w:r>
    </w:p>
    <w:p>
      <w:pPr>
        <w:spacing w:line="480" w:lineRule="auto"/>
        <w:jc w:val="center"/>
      </w:pPr>
      <w:r>
        <w:rPr>
          <w:rFonts w:ascii="Times New Roman" w:cs="Times New Roman" w:eastAsia="Times New Roman" w:hAnsi="Times New Roman"/>
          <w:sz w:val="24"/>
          <w:szCs w:val="24"/>
        </w:rPr>
        <w:t xml:space="preserve">BH700: Foundations of Integrated Behavioral Health</w:t>
      </w:r>
    </w:p>
    <w:p>
      <w:pPr>
        <w:spacing w:line="480" w:lineRule="auto"/>
        <w:jc w:val="center"/>
      </w:pPr>
      <w:r>
        <w:rPr>
          <w:rFonts w:ascii="Times New Roman" w:cs="Times New Roman" w:eastAsia="Times New Roman" w:hAnsi="Times New Roman"/>
          <w:sz w:val="24"/>
          <w:szCs w:val="24"/>
        </w:rPr>
        <w:t xml:space="preserve">[Instructor Name]</w:t>
      </w:r>
    </w:p>
    <w:p>
      <w:pPr>
        <w:spacing w:line="480" w:lineRule="auto"/>
        <w:jc w:val="center"/>
      </w:pPr>
      <w:r>
        <w:rPr>
          <w:rFonts w:ascii="Times New Roman" w:cs="Times New Roman" w:eastAsia="Times New Roman" w:hAnsi="Times New Roman"/>
          <w:sz w:val="24"/>
          <w:szCs w:val="24"/>
        </w:rPr>
        <w:t xml:space="preserve">[Assignment Due Date]</w:t>
      </w:r>
    </w:p>
    <w:p>
      <w:r>
        <w:br w:type="page"/>
      </w:r>
    </w:p>
    <w:p>
      <w:pPr>
        <w:keepNext/>
        <w:spacing w:after="0" w:before="240" w:line="480"/>
        <w:jc w:val="center"/>
      </w:pPr>
      <w:r>
        <w:rPr>
          <w:rFonts w:ascii="Times New Roman" w:cs="Times New Roman" w:eastAsia="Times New Roman" w:hAnsi="Times New Roman"/>
          <w:b/>
          <w:bCs/>
          <w:sz w:val="24"/>
          <w:szCs w:val="24"/>
        </w:rPr>
        <w:t xml:space="preserve">Identify Topic and Setting</w:t>
      </w:r>
    </w:p>
    <w:p>
      <w:pPr>
        <w:keepNext/>
        <w:spacing w:after="0" w:before="240" w:line="480"/>
        <w:jc w:val="left"/>
      </w:pPr>
      <w:r>
        <w:rPr>
          <w:rFonts w:ascii="Times New Roman" w:cs="Times New Roman" w:eastAsia="Times New Roman" w:hAnsi="Times New Roman"/>
          <w:b/>
          <w:bCs/>
          <w:sz w:val="24"/>
          <w:szCs w:val="24"/>
        </w:rPr>
        <w:t xml:space="preserve">Site and Population</w:t>
      </w:r>
    </w:p>
    <w:p>
      <w:pPr>
        <w:spacing w:line="480" w:lineRule="auto"/>
        <w:ind w:firstLine="720"/>
        <w:jc w:val="both"/>
      </w:pPr>
      <w:r>
        <w:rPr>
          <w:rFonts w:ascii="Times New Roman" w:cs="Times New Roman" w:eastAsia="Times New Roman" w:hAnsi="Times New Roman"/>
          <w:sz w:val="24"/>
          <w:szCs w:val="24"/>
        </w:rPr>
        <w:t xml:space="preserve">(Illustrative example) Riverside Community Health Center is a fictional federally qualified health center (FQHC) providing primary care, pediatrics, and limited on-site behavioral health services to a socioeconomically diverse, majority Hispanic/Latino community in Riverside County, California. The center serves approximately 14,000 patients annually, roughly 60% of whom identify as Hispanic/Latino and primarily Spanish-speaking, with about 55% covered by Medicaid and 20% uninsured. The largest age band served is adults 18 to 44, though the pediatric panel is also substantial. Preliminary permission was obtained from the Director of Clinical Operations on March 3, 2026, with a formal site agreement pending.</w:t>
      </w:r>
    </w:p>
    <w:p>
      <w:pPr>
        <w:keepNext/>
        <w:spacing w:after="0" w:before="240" w:line="480"/>
        <w:jc w:val="left"/>
      </w:pPr>
      <w:r>
        <w:rPr>
          <w:rFonts w:ascii="Times New Roman" w:cs="Times New Roman" w:eastAsia="Times New Roman" w:hAnsi="Times New Roman"/>
          <w:b/>
          <w:bCs/>
          <w:sz w:val="24"/>
          <w:szCs w:val="24"/>
        </w:rPr>
        <w:t xml:space="preserve">Identified Gap and Priority Need</w:t>
      </w:r>
    </w:p>
    <w:p>
      <w:pPr>
        <w:spacing w:line="480" w:lineRule="auto"/>
        <w:ind w:firstLine="720"/>
        <w:jc w:val="both"/>
      </w:pPr>
      <w:r>
        <w:rPr>
          <w:rFonts w:ascii="Times New Roman" w:cs="Times New Roman" w:eastAsia="Times New Roman" w:hAnsi="Times New Roman"/>
          <w:sz w:val="24"/>
          <w:szCs w:val="24"/>
        </w:rPr>
        <w:t xml:space="preserve">Riverside screens for depression and anxiety at intake, consistent with recommended practice, but lacks a structured, real-time warm hand-off connecting patients who screen positive to its single part-time behavioral health clinician. Referrals instead enter a scheduling queue with a one- to two-week delay. Internal scheduling data reviewed informally with the site contact indicate that fewer than half of referred patients, an estimated 40%, attend a first behavioral health appointment. Structured, same-day warm hand-offs are associated with improved engagement following a positive screen (Nguyen et al., 2024), which makes this a priority need rather than a peripheral issue: it determines whether a positive screen translates into actual care. The population most affected is patients, particularly Spanish-speaking adults and adolescents, routed into the delayed queue. Key stakeholders include Riverside's primary care providers, its behavioral health clinician, the medical director, care coordination staff, and the patients and families whose engagement depends on this hand-off.</w:t>
      </w:r>
    </w:p>
    <w:p>
      <w:pPr>
        <w:keepNext/>
        <w:spacing w:after="0" w:before="240" w:line="480"/>
        <w:jc w:val="left"/>
      </w:pPr>
      <w:r>
        <w:rPr>
          <w:rFonts w:ascii="Times New Roman" w:cs="Times New Roman" w:eastAsia="Times New Roman" w:hAnsi="Times New Roman"/>
          <w:b/>
          <w:bCs/>
          <w:sz w:val="24"/>
          <w:szCs w:val="24"/>
        </w:rPr>
        <w:t xml:space="preserve">Ethical, Cultural, and Equity Considerations</w:t>
      </w:r>
    </w:p>
    <w:p>
      <w:pPr>
        <w:spacing w:line="480" w:lineRule="auto"/>
        <w:ind w:firstLine="720"/>
        <w:jc w:val="both"/>
      </w:pPr>
      <w:r>
        <w:rPr>
          <w:rFonts w:ascii="Times New Roman" w:cs="Times New Roman" w:eastAsia="Times New Roman" w:hAnsi="Times New Roman"/>
          <w:sz w:val="24"/>
          <w:szCs w:val="24"/>
        </w:rPr>
        <w:t xml:space="preserve">Two ethical concerns are specific to this workflow. First, informed consent: a patient introduced to a behavioral health clinician days after screening needs a clear explanation of what information will be shared and with whom, not reliance on a signature from an earlier intake form. This matters more where substance use is involved, since 2024 revisions to federal confidentiality protections now permit a single consent to cover future treatment, payment, and care coordination disclosures, raising the stakes of the patient genuinely understanding that consent at the point of hand-off (U.S. Department of Health and Human Services, 2024). Second, confidentiality: a rushed hand-off conversation in shared clinic space risks disclosure to other patients or staff, a distinct risk requiring its own safeguard, such as a reserved private space.</w:t>
      </w:r>
    </w:p>
    <w:p>
      <w:pPr>
        <w:spacing w:line="480" w:lineRule="auto"/>
        <w:ind w:firstLine="720"/>
        <w:jc w:val="both"/>
      </w:pPr>
      <w:r>
        <w:rPr>
          <w:rFonts w:ascii="Times New Roman" w:cs="Times New Roman" w:eastAsia="Times New Roman" w:hAnsi="Times New Roman"/>
          <w:sz w:val="24"/>
          <w:szCs w:val="24"/>
        </w:rPr>
        <w:t xml:space="preserve">Culturally, the same delay is compounded for Spanish-speaking patients, since hand-offs are not currently conducted in Spanish without separately coordinating interpreter support. Research on stigma in integrated behavioral health indicates patients disengage more readily when a referral feels like a separate, specialty step rather than a continuous part of the visit already underway (Phelan et al., 2023). A delayed, queue-based referral reintroduces exactly that separation. Health equity guidance similarly stresses that workflow design, not service availability alone, determines whether marginalized populations experience equitable access (Agency for Healthcare Research and Quality, 2022). At Riverside, the gap is therefore a workflow and design problem, not simply a staffing shortage, and it disproportionately affects Spanish-speaking and lower-income patients.</w:t>
      </w:r>
    </w:p>
    <w:p>
      <w:pPr>
        <w:keepNext/>
        <w:spacing w:after="0" w:before="240" w:line="480"/>
        <w:jc w:val="left"/>
      </w:pPr>
      <w:r>
        <w:rPr>
          <w:rFonts w:ascii="Times New Roman" w:cs="Times New Roman" w:eastAsia="Times New Roman" w:hAnsi="Times New Roman"/>
          <w:b/>
          <w:bCs/>
          <w:sz w:val="24"/>
          <w:szCs w:val="24"/>
        </w:rPr>
        <w:t xml:space="preserve">Focus Questions</w:t>
      </w:r>
    </w:p>
    <w:p>
      <w:pPr>
        <w:spacing w:line="480"/>
        <w:ind w:left="720" w:hanging="360"/>
      </w:pPr>
      <w:r>
        <w:rPr>
          <w:rFonts w:ascii="Times New Roman" w:cs="Times New Roman" w:eastAsia="Times New Roman" w:hAnsi="Times New Roman"/>
          <w:sz w:val="24"/>
          <w:szCs w:val="24"/>
        </w:rPr>
        <w:t xml:space="preserve">1. To what extent does the absence of a same-day warm hand-off protocol, rather than overall staffing capacity, explain the gap between positive behavioral health screens and completed first appointments at Riverside?</w:t>
      </w:r>
    </w:p>
    <w:p>
      <w:pPr>
        <w:spacing w:line="480"/>
        <w:ind w:left="720" w:hanging="360"/>
      </w:pPr>
      <w:r>
        <w:rPr>
          <w:rFonts w:ascii="Times New Roman" w:cs="Times New Roman" w:eastAsia="Times New Roman" w:hAnsi="Times New Roman"/>
          <w:sz w:val="24"/>
          <w:szCs w:val="24"/>
        </w:rPr>
        <w:t xml:space="preserve">2. What specific language-access and consent-related barriers most affect Spanish-speaking patients' ability to understand and complete a behavioral health referral immediately following a positive screen?</w:t>
      </w:r>
    </w:p>
    <w:p>
      <w:pPr>
        <w:spacing w:line="480"/>
        <w:ind w:left="720" w:hanging="360"/>
      </w:pPr>
      <w:r>
        <w:rPr>
          <w:rFonts w:ascii="Times New Roman" w:cs="Times New Roman" w:eastAsia="Times New Roman" w:hAnsi="Times New Roman"/>
          <w:sz w:val="24"/>
          <w:szCs w:val="24"/>
        </w:rPr>
        <w:t xml:space="preserve">3. Which evidence-informed warm hand-off or same-day access models could be adapted to a single part-time behavioral health clinician's schedule to improve engagement among Riverside's impacted population without requiring additional staffing?</w:t>
      </w:r>
    </w:p>
    <w:p>
      <w:r>
        <w:br w:type="page"/>
      </w:r>
    </w:p>
    <w:p>
      <w:pPr>
        <w:spacing w:before="240" w:line="480"/>
        <w:jc w:val="center"/>
      </w:pPr>
      <w:r>
        <w:rPr>
          <w:rFonts w:ascii="Times New Roman" w:cs="Times New Roman" w:eastAsia="Times New Roman" w:hAnsi="Times New Roman"/>
          <w:b/>
          <w:bCs/>
          <w:sz w:val="24"/>
          <w:szCs w:val="24"/>
        </w:rPr>
        <w:t xml:space="preserve">References</w:t>
      </w:r>
    </w:p>
    <w:p>
      <w:pPr>
        <w:spacing w:line="480" w:lineRule="auto"/>
        <w:ind w:left="720" w:hanging="720"/>
      </w:pPr>
      <w:r>
        <w:rPr>
          <w:rFonts w:ascii="Times New Roman" w:cs="Times New Roman" w:eastAsia="Times New Roman" w:hAnsi="Times New Roman"/>
          <w:sz w:val="24"/>
          <w:szCs w:val="24"/>
        </w:rPr>
        <w:t xml:space="preserve">Agency for Healthcare Research and Quality. (2022). Health equity and behavioral health integration [Topic brief]. Academy for Integrating Behavioral Health and Primary Care. https://integrationacademy.ahrq.gov/products/topic-briefs/health-equity</w:t>
      </w:r>
    </w:p>
    <w:p>
      <w:pPr>
        <w:spacing w:line="480" w:lineRule="auto"/>
        <w:ind w:left="720" w:hanging="720"/>
      </w:pPr>
      <w:r>
        <w:rPr>
          <w:rFonts w:ascii="Times New Roman" w:cs="Times New Roman" w:eastAsia="Times New Roman" w:hAnsi="Times New Roman"/>
          <w:sz w:val="24"/>
          <w:szCs w:val="24"/>
        </w:rPr>
        <w:t xml:space="preserve">Nguyen, A. M., Klege, R. A., Menders, T., Verma, C., Marcello, S., &amp; Crabtree, B. F. (2024). Strategies for implementing integrated behavioral health into health centers. Journal of the American Board of Family Medicine, 37(5), 833-846. https://doi.org/10.3122/jabfm.2023.230417R1</w:t>
      </w:r>
    </w:p>
    <w:p>
      <w:pPr>
        <w:spacing w:line="480" w:lineRule="auto"/>
        <w:ind w:left="720" w:hanging="720"/>
      </w:pPr>
      <w:r>
        <w:rPr>
          <w:rFonts w:ascii="Times New Roman" w:cs="Times New Roman" w:eastAsia="Times New Roman" w:hAnsi="Times New Roman"/>
          <w:sz w:val="24"/>
          <w:szCs w:val="24"/>
        </w:rPr>
        <w:t xml:space="preserve">Phelan, S. M., Salinas, M., Pankey, T., Cummings, G., Allen, J.-S. P., Waniger, A., Miller, N. E., Lebow, J., Dovidio, J. F., van Ryn, M., &amp; Doubeni, C. A. (2023). Patient and health care professional perspectives on stigma in integrated behavioral health: Barriers and recommendations. Annals of Family Medicine, 21(Suppl 2), S56-S60. https://doi.org/10.1370/afm.2924</w:t>
      </w:r>
    </w:p>
    <w:p>
      <w:pPr>
        <w:spacing w:line="480" w:lineRule="auto"/>
        <w:ind w:left="720" w:hanging="720"/>
      </w:pPr>
      <w:r>
        <w:rPr>
          <w:rFonts w:ascii="Times New Roman" w:cs="Times New Roman" w:eastAsia="Times New Roman" w:hAnsi="Times New Roman"/>
          <w:sz w:val="24"/>
          <w:szCs w:val="24"/>
        </w:rPr>
        <w:t xml:space="preserve">U.S. Department of Health and Human Services, Office for Civil Rights, &amp; Substance Abuse and Mental Health Services Administration. (2024). Confidentiality of substance use disorder (SUD) patient records; Final rule. Federal Register, 89(33), 12472-12631. https://www.federalregister.gov/documents/2024/02/16/2024-02544/confidentiality-of-substance-use-disorder-sud-patient-records</w:t>
      </w:r>
    </w:p>
    <w:sectPr>
      <w:headerReference w:type="default" r:id="rId7"/>
      <w:pgSz w:w="12240" w:h="15840" w:orient="portrait"/>
      <w:pgMar w:top="1440" w:right="1440" w:bottom="1440" w:left="144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2026-09-15T12:02:47.215Z</dcterms:created>
  <dcterms:modified xsi:type="dcterms:W3CDTF">2026-09-15T12:02:47.216Z</dcterms:modified>
</cp:coreProperties>
</file>

<file path=docProps/custom.xml><?xml version="1.0" encoding="utf-8"?>
<Properties xmlns="http://schemas.openxmlformats.org/officeDocument/2006/custom-properties" xmlns:vt="http://schemas.openxmlformats.org/officeDocument/2006/docPropsVTypes"/>
</file>