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0F6" w:rsidRDefault="002670F6">
      <w:pPr>
        <w:spacing w:before="1400"/>
      </w:pPr>
    </w:p>
    <w:p w:rsidR="002670F6" w:rsidRDefault="00FD0FCF">
      <w:pPr>
        <w:jc w:val="center"/>
      </w:pPr>
      <w:r>
        <w:rPr>
          <w:b/>
          <w:bCs/>
          <w:sz w:val="24"/>
          <w:szCs w:val="24"/>
        </w:rPr>
        <w:t>Improving Capital Budgeting Decisions Under Uncertainty: Integrating AI-Driven Cash Flow Forecasting with Scenario Analysis in Technology Investment Appraisal</w:t>
      </w:r>
    </w:p>
    <w:p w:rsidR="002670F6" w:rsidRDefault="002670F6">
      <w:pPr>
        <w:spacing w:before="300"/>
      </w:pPr>
    </w:p>
    <w:p w:rsidR="002670F6" w:rsidRDefault="00FD0FCF">
      <w:pPr>
        <w:jc w:val="center"/>
      </w:pPr>
      <w:r>
        <w:rPr>
          <w:b/>
          <w:bCs/>
          <w:sz w:val="24"/>
          <w:szCs w:val="24"/>
        </w:rPr>
        <w:t>MODEL EXAMPLE — FOR LEARNING AND STRUCTURAL GUIDANCE ONLY</w:t>
      </w:r>
    </w:p>
    <w:p w:rsidR="002670F6" w:rsidRDefault="00FD0FCF">
      <w:pPr>
        <w:jc w:val="center"/>
      </w:pPr>
      <w:r>
        <w:rPr>
          <w:sz w:val="24"/>
          <w:szCs w:val="24"/>
        </w:rPr>
        <w:t>[Your Name] — Built from Gradevia’s BUS 960 Capital Budgeting Research Project guide</w:t>
      </w:r>
    </w:p>
    <w:p w:rsidR="002670F6" w:rsidRDefault="00FD0FCF">
      <w:pPr>
        <w:jc w:val="center"/>
      </w:pPr>
      <w:r>
        <w:rPr>
          <w:sz w:val="24"/>
          <w:szCs w:val="24"/>
        </w:rPr>
        <w:t>BUS 960: Capital Budgeting</w:t>
      </w:r>
    </w:p>
    <w:p w:rsidR="002670F6" w:rsidRDefault="00FD0FCF">
      <w:pPr>
        <w:jc w:val="center"/>
      </w:pPr>
      <w:r>
        <w:rPr>
          <w:sz w:val="24"/>
          <w:szCs w:val="24"/>
        </w:rPr>
        <w:t>[University Name]</w:t>
      </w:r>
    </w:p>
    <w:p w:rsidR="002670F6" w:rsidRDefault="002670F6">
      <w:pPr>
        <w:sectPr w:rsidR="002670F6">
          <w:headerReference w:type="default" r:id="rId7"/>
          <w:footerReference w:type="default" r:id="rId8"/>
          <w:headerReference w:type="first" r:id="rId9"/>
          <w:footerReference w:type="first" r:id="rId10"/>
          <w:pgSz w:w="12240" w:h="15840"/>
          <w:pgMar w:top="1440" w:right="1440" w:bottom="1440" w:left="1440" w:header="708" w:footer="708" w:gutter="0"/>
          <w:cols w:space="720"/>
          <w:titlePg/>
          <w:docGrid w:linePitch="360"/>
        </w:sectPr>
      </w:pPr>
    </w:p>
    <w:p w:rsidR="002670F6" w:rsidRDefault="00FD0FCF">
      <w:pPr>
        <w:pStyle w:val="Heading1"/>
        <w:spacing w:before="240" w:line="480" w:lineRule="auto"/>
        <w:jc w:val="center"/>
      </w:pPr>
      <w:r>
        <w:rPr>
          <w:b/>
          <w:bCs/>
          <w:color w:val="000000"/>
          <w:sz w:val="24"/>
          <w:szCs w:val="24"/>
        </w:rPr>
        <w:lastRenderedPageBreak/>
        <w:t>Abstract</w:t>
      </w:r>
    </w:p>
    <w:p w:rsidR="002670F6" w:rsidRDefault="00FD0FCF">
      <w:pPr>
        <w:spacing w:line="480" w:lineRule="auto"/>
      </w:pPr>
      <w:r>
        <w:rPr>
          <w:sz w:val="24"/>
          <w:szCs w:val="24"/>
        </w:rPr>
        <w:t>Traditional net present value (NPV) analysis typically relies on static, single-point cash flow estimates that may not adequately reflect the uncertainty inherent in technol</w:t>
      </w:r>
      <w:r>
        <w:rPr>
          <w:sz w:val="24"/>
          <w:szCs w:val="24"/>
        </w:rPr>
        <w:t>ogy-driven investment decisions. This paper investigates the extent to which integrating artificial intelligence (AI) driven cash flow forecasting with structured scenario analysis changes the estimated value and risk profile of a technology investment dec</w:t>
      </w:r>
      <w:r>
        <w:rPr>
          <w:sz w:val="24"/>
          <w:szCs w:val="24"/>
        </w:rPr>
        <w:t>ision relative to a conventional static NPV approach. Using an illustrative case built around a fictitious logistics company evaluating an AI-driven demand forecasting and route optimization platform, this paper compares a traditional flat-line cash flow a</w:t>
      </w:r>
      <w:r>
        <w:rPr>
          <w:sz w:val="24"/>
          <w:szCs w:val="24"/>
        </w:rPr>
        <w:t>ssumption against an AI-informed forecast that reflects a realistic technology adoption curve. The AI-informed forecast produced a substantially higher net present value, internal rate of return, and shorter payback period than the traditional static estim</w:t>
      </w:r>
      <w:r>
        <w:rPr>
          <w:sz w:val="24"/>
          <w:szCs w:val="24"/>
        </w:rPr>
        <w:t>ate, primarily because it captured a ramp-shaped efficiency gain that a flat annual estimate obscures. Sensitivity and scenario analysis further showed the investment remained value-positive across a reasonable range of assumptions, though the worst-case s</w:t>
      </w:r>
      <w:r>
        <w:rPr>
          <w:sz w:val="24"/>
          <w:szCs w:val="24"/>
        </w:rPr>
        <w:t>cenario carried a materially thinner margin than the base case. These findings suggest that AI-informed forecasting and scenario analysis are complementary tools that, combined, can meaningfully improve the realism of capital budgeting decisions for techno</w:t>
      </w:r>
      <w:r>
        <w:rPr>
          <w:sz w:val="24"/>
          <w:szCs w:val="24"/>
        </w:rPr>
        <w:t>logy investments, addressing a gap between capital budgeting literature and the growing body of research on AI-based financial forecasting.</w:t>
      </w:r>
    </w:p>
    <w:p w:rsidR="002670F6" w:rsidRDefault="00FD0FCF">
      <w:pPr>
        <w:spacing w:line="480" w:lineRule="auto"/>
        <w:ind w:firstLine="720"/>
      </w:pPr>
      <w:r>
        <w:rPr>
          <w:sz w:val="24"/>
          <w:szCs w:val="24"/>
        </w:rPr>
        <w:t>Keywords: capital budgeting, net present value, artificial intelligence, cash flow forecasting, scenario analysis, t</w:t>
      </w:r>
      <w:r>
        <w:rPr>
          <w:sz w:val="24"/>
          <w:szCs w:val="24"/>
        </w:rPr>
        <w:t>echnology investment</w:t>
      </w:r>
    </w:p>
    <w:p w:rsidR="002670F6" w:rsidRDefault="002670F6">
      <w:pPr>
        <w:sectPr w:rsidR="002670F6">
          <w:headerReference w:type="default" r:id="rId11"/>
          <w:footerReference w:type="default" r:id="rId12"/>
          <w:pgSz w:w="12240" w:h="15840"/>
          <w:pgMar w:top="1440" w:right="1440" w:bottom="1440" w:left="1440" w:header="708" w:footer="708" w:gutter="0"/>
          <w:cols w:space="720"/>
          <w:docGrid w:linePitch="360"/>
        </w:sectPr>
      </w:pPr>
    </w:p>
    <w:p w:rsidR="002670F6" w:rsidRDefault="00FD0FCF">
      <w:pPr>
        <w:pStyle w:val="Heading1"/>
        <w:spacing w:before="240" w:line="480" w:lineRule="auto"/>
        <w:jc w:val="center"/>
      </w:pPr>
      <w:r>
        <w:rPr>
          <w:b/>
          <w:bCs/>
          <w:color w:val="000000"/>
          <w:sz w:val="24"/>
          <w:szCs w:val="24"/>
        </w:rPr>
        <w:lastRenderedPageBreak/>
        <w:t>Improving Capital Budgeting Decisions Under Uncertainty: Integrating AI-Driven Cash Flow Forecasting with Scenario Analysis in Technology Investment Appraisal</w:t>
      </w:r>
    </w:p>
    <w:p w:rsidR="002670F6" w:rsidRDefault="00FD0FCF">
      <w:pPr>
        <w:pStyle w:val="Heading2"/>
        <w:spacing w:before="160" w:line="480" w:lineRule="auto"/>
      </w:pPr>
      <w:r>
        <w:rPr>
          <w:b/>
          <w:bCs/>
          <w:color w:val="000000"/>
          <w:sz w:val="24"/>
          <w:szCs w:val="24"/>
        </w:rPr>
        <w:t>Introduction</w:t>
      </w:r>
    </w:p>
    <w:p w:rsidR="002670F6" w:rsidRDefault="00FD0FCF" w:rsidP="008C6EEB">
      <w:pPr>
        <w:spacing w:line="480" w:lineRule="auto"/>
        <w:ind w:firstLine="720"/>
      </w:pPr>
      <w:r>
        <w:rPr>
          <w:sz w:val="24"/>
          <w:szCs w:val="24"/>
        </w:rPr>
        <w:t>Capital budgeting decisions remain central to how organizations allocate sc</w:t>
      </w:r>
      <w:r>
        <w:rPr>
          <w:sz w:val="24"/>
          <w:szCs w:val="24"/>
        </w:rPr>
        <w:t>arce resources among competing investment opportunities, and net present value (NPV) analysis remains the theoretically preferred technique for evaluating those opportunities (Brealey et al., 2023). In practice, however, NPV analysis is frequently built on</w:t>
      </w:r>
      <w:r>
        <w:rPr>
          <w:sz w:val="24"/>
          <w:szCs w:val="24"/>
        </w:rPr>
        <w:t xml:space="preserve"> static, single-point cash flow estimates, a simplification that can obscure how a project's value actually unfolds over time, particularly for technology investments whose benefits often ramp up gradually as adoption spreads through an organization rather</w:t>
      </w:r>
      <w:r>
        <w:rPr>
          <w:sz w:val="24"/>
          <w:szCs w:val="24"/>
        </w:rPr>
        <w:t xml:space="preserve"> than arriving as a constant annual figure.</w:t>
      </w:r>
    </w:p>
    <w:p w:rsidR="002670F6" w:rsidRDefault="00FD0FCF">
      <w:pPr>
        <w:spacing w:line="480" w:lineRule="auto"/>
        <w:ind w:firstLine="720"/>
      </w:pPr>
      <w:r>
        <w:rPr>
          <w:sz w:val="24"/>
          <w:szCs w:val="24"/>
        </w:rPr>
        <w:t>At the same time, artificial intelligence (AI) and machine learning (ML) forecasting methods have demonstrated measurable improvements in short-horizon financial prediction tasks, including cash flow and accounts</w:t>
      </w:r>
      <w:r>
        <w:rPr>
          <w:sz w:val="24"/>
          <w:szCs w:val="24"/>
        </w:rPr>
        <w:t xml:space="preserve"> receivable forecasting (Kureljusic &amp; Metz, 2023), and broader adoption of AI tools in investment decision-making has been associated with improved decision efficiency and accuracy (Jawad &amp; Azeez, 2026). Despite this growth, the capital budgeting literatur</w:t>
      </w:r>
      <w:r>
        <w:rPr>
          <w:sz w:val="24"/>
          <w:szCs w:val="24"/>
        </w:rPr>
        <w:t>e has not yet developed a clear, practitioner-usable framework for integrating AI-informed cash flow forecasts into standard NPV-based decision processes, nor for combining those forecasts with the sensitivity and scenario analysis techniques capital budge</w:t>
      </w:r>
      <w:r>
        <w:rPr>
          <w:sz w:val="24"/>
          <w:szCs w:val="24"/>
        </w:rPr>
        <w:t>ting already relies on to manage uncertainty.</w:t>
      </w:r>
    </w:p>
    <w:p w:rsidR="002670F6" w:rsidRDefault="00FD0FCF">
      <w:pPr>
        <w:spacing w:line="480" w:lineRule="auto"/>
        <w:ind w:firstLine="720"/>
      </w:pPr>
      <w:r>
        <w:rPr>
          <w:sz w:val="24"/>
          <w:szCs w:val="24"/>
        </w:rPr>
        <w:t>This gap matters because two existing literatures currently run in parallel without much overlap. Real options theory offers one well-established way to manage investment uncertainty, by valuing the flexibility</w:t>
      </w:r>
      <w:r>
        <w:rPr>
          <w:sz w:val="24"/>
          <w:szCs w:val="24"/>
        </w:rPr>
        <w:t xml:space="preserve"> to delay, expand, or abandon a project as new information arrives (Gorupec et al., 2022), but it addresses uncertainty through decision flexibility rather than </w:t>
      </w:r>
      <w:r>
        <w:rPr>
          <w:sz w:val="24"/>
          <w:szCs w:val="24"/>
        </w:rPr>
        <w:lastRenderedPageBreak/>
        <w:t>through improving the quality of the underlying cash flow estimate itself. AI-based forecasting</w:t>
      </w:r>
      <w:r>
        <w:rPr>
          <w:sz w:val="24"/>
          <w:szCs w:val="24"/>
        </w:rPr>
        <w:t xml:space="preserve"> addresses the opposite half of the problem, improving the accuracy of the estimate, but has mostly been studied in short-horizon operational contexts rather than multi-year capital investment appraisal. This paper asks: to what extent does integrating AI-</w:t>
      </w:r>
      <w:r>
        <w:rPr>
          <w:sz w:val="24"/>
          <w:szCs w:val="24"/>
        </w:rPr>
        <w:t>driven cash flow forecasting with scenario analysis change the estimated value and risk profile of a technology investment decision compared to a traditional static NPV approach?</w:t>
      </w:r>
    </w:p>
    <w:p w:rsidR="002670F6" w:rsidRDefault="00FD0FCF">
      <w:pPr>
        <w:spacing w:line="480" w:lineRule="auto"/>
        <w:ind w:firstLine="720"/>
      </w:pPr>
      <w:r>
        <w:rPr>
          <w:sz w:val="24"/>
          <w:szCs w:val="24"/>
        </w:rPr>
        <w:t>This paper addresses that question through an illustrative case analysis buil</w:t>
      </w:r>
      <w:r>
        <w:rPr>
          <w:sz w:val="24"/>
          <w:szCs w:val="24"/>
        </w:rPr>
        <w:t>t around a fictitious mid-size logistics firm evaluating an investment in an AI-driven demand forecasting and route optimization platform. Using this case, the paper compares a traditional flat-line cash flow assumption against an AI-informed forecast refl</w:t>
      </w:r>
      <w:r>
        <w:rPr>
          <w:sz w:val="24"/>
          <w:szCs w:val="24"/>
        </w:rPr>
        <w:t>ecting a realistic adoption curve, and applies NPV, internal rate of return (IRR), payback period, sensitivity analysis, and scenario analysis to both. The scope of the paper is intentionally narrow: a single illustrative case, rather than a broad empirica</w:t>
      </w:r>
      <w:r>
        <w:rPr>
          <w:sz w:val="24"/>
          <w:szCs w:val="24"/>
        </w:rPr>
        <w:t>l study, in order to produce a clear, replicable structural comparison within the timeframe available for this project. The paper's significance lies in offering a practical, structured framework that a practitioner evaluating a technology investment under</w:t>
      </w:r>
      <w:r>
        <w:rPr>
          <w:sz w:val="24"/>
          <w:szCs w:val="24"/>
        </w:rPr>
        <w:t xml:space="preserve"> genuine uncertainty could adapt to their own project.</w:t>
      </w:r>
    </w:p>
    <w:p w:rsidR="002670F6" w:rsidRDefault="00FD0FCF">
      <w:pPr>
        <w:pStyle w:val="Heading2"/>
        <w:spacing w:before="160" w:line="480" w:lineRule="auto"/>
      </w:pPr>
      <w:r>
        <w:rPr>
          <w:b/>
          <w:bCs/>
          <w:color w:val="000000"/>
          <w:sz w:val="24"/>
          <w:szCs w:val="24"/>
        </w:rPr>
        <w:t>Literature Review</w:t>
      </w:r>
    </w:p>
    <w:p w:rsidR="002670F6" w:rsidRDefault="00FD0FCF">
      <w:pPr>
        <w:spacing w:line="480" w:lineRule="auto"/>
      </w:pPr>
      <w:r>
        <w:rPr>
          <w:sz w:val="24"/>
          <w:szCs w:val="24"/>
        </w:rPr>
        <w:t>Capital budgeting theory has long identified NPV as the technique most consistent with the goal of maximizing firm value, since it directly measures the present value a project is exp</w:t>
      </w:r>
      <w:r>
        <w:rPr>
          <w:sz w:val="24"/>
          <w:szCs w:val="24"/>
        </w:rPr>
        <w:t>ected to add relative to its cost of capital (Brealey et al., 2023). IRR and payback period remain widely used alongside NPV in practice, in part because they communicate a project's attractiveness in terms, a percentage return or a break-even time horizon</w:t>
      </w:r>
      <w:r>
        <w:rPr>
          <w:sz w:val="24"/>
          <w:szCs w:val="24"/>
        </w:rPr>
        <w:t xml:space="preserve">, that are often more intuitive to non-financial stakeholders than a present-value dollar figure. Survey evidence on actual capital </w:t>
      </w:r>
      <w:r>
        <w:rPr>
          <w:sz w:val="24"/>
          <w:szCs w:val="24"/>
        </w:rPr>
        <w:lastRenderedPageBreak/>
        <w:t>budgeting practice confirms this persistence: even where NPV is understood to be technically superior, many firms continue t</w:t>
      </w:r>
      <w:r>
        <w:rPr>
          <w:sz w:val="24"/>
          <w:szCs w:val="24"/>
        </w:rPr>
        <w:t>o rely on payback period as a primary or supplementary screening tool, particularly for smaller or shorter-horizon projects (Mota &amp; Moreira, 2023). This gap between theoretical preference and practitioner behavior is relevant to the present study because i</w:t>
      </w:r>
      <w:r>
        <w:rPr>
          <w:sz w:val="24"/>
          <w:szCs w:val="24"/>
        </w:rPr>
        <w:t>t suggests that any proposed refinement to capital budgeting practice, including AI-informed forecasting, needs to remain compatible with the traditional metrics practitioners already use rather than replacing them outright.</w:t>
      </w:r>
    </w:p>
    <w:p w:rsidR="002670F6" w:rsidRDefault="00FD0FCF">
      <w:pPr>
        <w:spacing w:line="480" w:lineRule="auto"/>
        <w:ind w:firstLine="720"/>
      </w:pPr>
      <w:r>
        <w:rPr>
          <w:sz w:val="24"/>
          <w:szCs w:val="24"/>
        </w:rPr>
        <w:t>A separate and more recent body</w:t>
      </w:r>
      <w:r>
        <w:rPr>
          <w:sz w:val="24"/>
          <w:szCs w:val="24"/>
        </w:rPr>
        <w:t xml:space="preserve"> of research has examined how AI and machine learning methods can improve the accuracy of financial forecasting. Kureljusic and Metz (2023) evaluated multiple machine learning algorithms against traditional and naive forecasting models for predicting incom</w:t>
      </w:r>
      <w:r>
        <w:rPr>
          <w:sz w:val="24"/>
          <w:szCs w:val="24"/>
        </w:rPr>
        <w:t>ing cash flows in accounts receivable management, finding that machine learning approaches could outperform conventional baseline models, particularly as more detailed customer-level information became available. Although their study focused on short-horiz</w:t>
      </w:r>
      <w:r>
        <w:rPr>
          <w:sz w:val="24"/>
          <w:szCs w:val="24"/>
        </w:rPr>
        <w:t>on operational cash flow prediction rather than long-horizon capital investment appraisal, the underlying finding, that AI-based methods can extract forecasting signal that traditional linear or flat-line assumptions miss, is directly relevant to how a mul</w:t>
      </w:r>
      <w:r>
        <w:rPr>
          <w:sz w:val="24"/>
          <w:szCs w:val="24"/>
        </w:rPr>
        <w:t>ti-year technology investment's cash flows might be more realistically modeled. More broadly, Jawad and Azeez (2026) found that AI adoption, including machine learning and expert systems, had a statistically significant positive effect on the efficiency an</w:t>
      </w:r>
      <w:r>
        <w:rPr>
          <w:sz w:val="24"/>
          <w:szCs w:val="24"/>
        </w:rPr>
        <w:t>d accuracy of investment decisions in a sample of investment projects, reinforcing that the benefits of AI-informed forecasting are not confined to a single industry or forecasting task.</w:t>
      </w:r>
    </w:p>
    <w:p w:rsidR="002670F6" w:rsidRDefault="00FD0FCF">
      <w:pPr>
        <w:spacing w:line="480" w:lineRule="auto"/>
        <w:ind w:firstLine="720"/>
      </w:pPr>
      <w:r>
        <w:rPr>
          <w:sz w:val="24"/>
          <w:szCs w:val="24"/>
        </w:rPr>
        <w:t>Real options theory offers a well-established alternative lens for ma</w:t>
      </w:r>
      <w:r>
        <w:rPr>
          <w:sz w:val="24"/>
          <w:szCs w:val="24"/>
        </w:rPr>
        <w:t xml:space="preserve">naging investment uncertainty. Rather than attempting to produce a single more accurate cash flow estimate, real </w:t>
      </w:r>
      <w:r>
        <w:rPr>
          <w:sz w:val="24"/>
          <w:szCs w:val="24"/>
        </w:rPr>
        <w:lastRenderedPageBreak/>
        <w:t>options theory values the flexibility embedded in a project, the option to expand, delay, or abandon an investment as uncertainty resolves over</w:t>
      </w:r>
      <w:r>
        <w:rPr>
          <w:sz w:val="24"/>
          <w:szCs w:val="24"/>
        </w:rPr>
        <w:t xml:space="preserve"> time, and has been shown to be particularly useful for evaluating investments in volatile or rapidly evolving domains such as new technology adoption (Gorupec et al., 2022). This literature is conceptually distinct from AI-based forecasting: real options </w:t>
      </w:r>
      <w:r>
        <w:rPr>
          <w:sz w:val="24"/>
          <w:szCs w:val="24"/>
        </w:rPr>
        <w:t>theory manages uncertainty through decision flexibility, while AI forecasting manages uncertainty by improving the quality of the point estimate that feeds into a standard NPV calculation. The two approaches are not competing explanations for the same phen</w:t>
      </w:r>
      <w:r>
        <w:rPr>
          <w:sz w:val="24"/>
          <w:szCs w:val="24"/>
        </w:rPr>
        <w:t>omenon; they address different sources of uncertainty and could, in principle, be used together.</w:t>
      </w:r>
    </w:p>
    <w:p w:rsidR="002670F6" w:rsidRDefault="00FD0FCF">
      <w:pPr>
        <w:spacing w:line="480" w:lineRule="auto"/>
        <w:ind w:firstLine="720"/>
      </w:pPr>
      <w:r>
        <w:rPr>
          <w:sz w:val="24"/>
          <w:szCs w:val="24"/>
        </w:rPr>
        <w:t xml:space="preserve">Taken together, this literature reveals a specific gap. Capital budgeting research has established that traditional NPV and IRR remain the dominant techniques </w:t>
      </w:r>
      <w:r>
        <w:rPr>
          <w:sz w:val="24"/>
          <w:szCs w:val="24"/>
        </w:rPr>
        <w:t xml:space="preserve">in practice (Brealey et al., 2023; Mota &amp; Moreira, 2023), forecasting research has established that AI and machine learning methods can materially improve the accuracy of short-horizon cash flow predictions (Kureljusic &amp; Metz, 2023) and broader investment </w:t>
      </w:r>
      <w:r>
        <w:rPr>
          <w:sz w:val="24"/>
          <w:szCs w:val="24"/>
        </w:rPr>
        <w:t>decision efficiency (Jawad &amp; Azeez, 2026), and real options research has established a separate framework for handling investment uncertainty through flexibility rather than forecast accuracy (Gorupec et al., 2022). What remains underexplored is how an AI-</w:t>
      </w:r>
      <w:r>
        <w:rPr>
          <w:sz w:val="24"/>
          <w:szCs w:val="24"/>
        </w:rPr>
        <w:t>informed cash flow forecast, one that captures a realistic, non-linear adoption pattern rather than a flat annual estimate, changes the output of a standard capital budgeting analysis once it is combined with the sensitivity and scenario analysis technique</w:t>
      </w:r>
      <w:r>
        <w:rPr>
          <w:sz w:val="24"/>
          <w:szCs w:val="24"/>
        </w:rPr>
        <w:t>s already used to manage uncertainty within that same NPV framework. This paper's illustrative case is designed to address that specific, narrower gap.</w:t>
      </w:r>
    </w:p>
    <w:p w:rsidR="002670F6" w:rsidRDefault="00FD0FCF">
      <w:pPr>
        <w:pStyle w:val="Heading2"/>
        <w:spacing w:before="160" w:line="480" w:lineRule="auto"/>
      </w:pPr>
      <w:r>
        <w:rPr>
          <w:b/>
          <w:bCs/>
          <w:color w:val="000000"/>
          <w:sz w:val="24"/>
          <w:szCs w:val="24"/>
        </w:rPr>
        <w:t>Methodology</w:t>
      </w:r>
    </w:p>
    <w:p w:rsidR="002670F6" w:rsidRDefault="00FD0FCF">
      <w:pPr>
        <w:spacing w:line="480" w:lineRule="auto"/>
      </w:pPr>
      <w:r>
        <w:rPr>
          <w:sz w:val="24"/>
          <w:szCs w:val="24"/>
        </w:rPr>
        <w:lastRenderedPageBreak/>
        <w:t>This paper uses an illustrative case-based analytical approach rather than an empirical study drawing on real company data, consistent with the scope of a six-week, 8–10 page research project. A single hypothetical case was selected specifically to allow a</w:t>
      </w:r>
      <w:r>
        <w:rPr>
          <w:sz w:val="24"/>
          <w:szCs w:val="24"/>
        </w:rPr>
        <w:t xml:space="preserve"> clear, structural comparison between a traditional and an AI-informed cash flow forecast under the same set of underlying assumptions, isolating the effect of the forecasting approach itself rather than introducing the additional variability of comparing </w:t>
      </w:r>
      <w:r>
        <w:rPr>
          <w:sz w:val="24"/>
          <w:szCs w:val="24"/>
        </w:rPr>
        <w:t>across multiple real firms.</w:t>
      </w:r>
    </w:p>
    <w:p w:rsidR="002670F6" w:rsidRDefault="00FD0FCF">
      <w:pPr>
        <w:spacing w:line="480" w:lineRule="auto"/>
        <w:ind w:firstLine="720"/>
      </w:pPr>
      <w:r>
        <w:rPr>
          <w:sz w:val="24"/>
          <w:szCs w:val="24"/>
        </w:rPr>
        <w:t>The illustrative case involves Meridian Logistics Solutions, a fictitious mid-size logistics and supply chain company, evaluating a $1,200,000 investment in an AI-driven demand forecasting and route optimization platform intende</w:t>
      </w:r>
      <w:r>
        <w:rPr>
          <w:sz w:val="24"/>
          <w:szCs w:val="24"/>
        </w:rPr>
        <w:t>d to reduce fuel, labor, and idle-time costs over a five-year project life. Two cash flow forecasts were constructed for comparison. The traditional forecast applies a flat annual cost-savings estimate of $340,000 across all five years, the type of simplif</w:t>
      </w:r>
      <w:r>
        <w:rPr>
          <w:sz w:val="24"/>
          <w:szCs w:val="24"/>
        </w:rPr>
        <w:t>ied, single-point assumption common in conventional NPV analysis. The AI-informed forecast instead applies a ramp-shaped pattern of $310,000, $365,000, $410,000, $430,000, and $445,000 across Years 1 through 5, reflecting the adoption curve documented in t</w:t>
      </w:r>
      <w:r>
        <w:rPr>
          <w:sz w:val="24"/>
          <w:szCs w:val="24"/>
        </w:rPr>
        <w:t>he forecasting literature, in which realized efficiency gains from a new operational technology typically build gradually as an organization's staff and processes adapt to it, rather than appearing at full strength immediately (Kureljusic &amp; Metz, 2023).</w:t>
      </w:r>
    </w:p>
    <w:p w:rsidR="002670F6" w:rsidRDefault="00FD0FCF">
      <w:pPr>
        <w:spacing w:line="480" w:lineRule="auto"/>
        <w:ind w:firstLine="720"/>
      </w:pPr>
      <w:r>
        <w:rPr>
          <w:sz w:val="24"/>
          <w:szCs w:val="24"/>
        </w:rPr>
        <w:t>Bo</w:t>
      </w:r>
      <w:r>
        <w:rPr>
          <w:sz w:val="24"/>
          <w:szCs w:val="24"/>
        </w:rPr>
        <w:t>th cash flow streams were evaluated using a 9% discount rate, an illustrative weighted average cost of capital assumption representative of a mid-size logistics firm's blended cost of debt and equity. NPV was calculated as the sum of each year's discounted</w:t>
      </w:r>
      <w:r>
        <w:rPr>
          <w:sz w:val="24"/>
          <w:szCs w:val="24"/>
        </w:rPr>
        <w:t xml:space="preserve"> cash flow less the initial investment; IRR was calculated as the discount rate at which NPV equals zero; and payback period was calculated as the point at which cumulative undiscounted cash flows equal the initial investment. Sensitivity analysis was then</w:t>
      </w:r>
      <w:r>
        <w:rPr>
          <w:sz w:val="24"/>
          <w:szCs w:val="24"/>
        </w:rPr>
        <w:t xml:space="preserve"> applied to the AI-informed forecast by </w:t>
      </w:r>
      <w:r>
        <w:rPr>
          <w:sz w:val="24"/>
          <w:szCs w:val="24"/>
        </w:rPr>
        <w:lastRenderedPageBreak/>
        <w:t>varying one assumption at a time, discount rate, initial investment, and overall cash flow level, while holding all other assumptions constant, to identify which variable the investment decision is most responsive to</w:t>
      </w:r>
      <w:r>
        <w:rPr>
          <w:sz w:val="24"/>
          <w:szCs w:val="24"/>
        </w:rPr>
        <w:t>. Finally, a three-scenario analysis (best case, base case, worst case) was constructed by adjusting multiple assumptions simultaneously in a plausible, internally consistent direction for each scenario, rather than varying one input at a time, to illustra</w:t>
      </w:r>
      <w:r>
        <w:rPr>
          <w:sz w:val="24"/>
          <w:szCs w:val="24"/>
        </w:rPr>
        <w:t>te the investment's overall range of outcomes under integrated uncertainty.</w:t>
      </w:r>
    </w:p>
    <w:p w:rsidR="002670F6" w:rsidRDefault="00FD0FCF">
      <w:pPr>
        <w:spacing w:line="480" w:lineRule="auto"/>
        <w:ind w:firstLine="720"/>
      </w:pPr>
      <w:r>
        <w:rPr>
          <w:sz w:val="24"/>
          <w:szCs w:val="24"/>
        </w:rPr>
        <w:t>Several limitations apply to this methodology and are addressed further in the Conclusion. All financial figures in this paper are illustrative and were constructed specifically fo</w:t>
      </w:r>
      <w:r>
        <w:rPr>
          <w:sz w:val="24"/>
          <w:szCs w:val="24"/>
        </w:rPr>
        <w:t>r this analysis; they are not drawn from Meridian Logistics Solutions or from any real company's actual financial statements. No tax effects, depreciation, or terminal value beyond Year 5 were modeled, in order to keep the illustrative comparison focused o</w:t>
      </w:r>
      <w:r>
        <w:rPr>
          <w:sz w:val="24"/>
          <w:szCs w:val="24"/>
        </w:rPr>
        <w:t>n the effect of the forecasting method itself. A single discount rate was applied uniformly rather than adjusted for project-specific risk, a simplification appropriate for an illustrative comparison but one that would need refinement in an applied, real-w</w:t>
      </w:r>
      <w:r>
        <w:rPr>
          <w:sz w:val="24"/>
          <w:szCs w:val="24"/>
        </w:rPr>
        <w:t>orld analysis.</w:t>
      </w:r>
    </w:p>
    <w:p w:rsidR="002670F6" w:rsidRDefault="00FD0FCF">
      <w:pPr>
        <w:pStyle w:val="Heading2"/>
        <w:spacing w:before="160" w:line="480" w:lineRule="auto"/>
      </w:pPr>
      <w:r>
        <w:rPr>
          <w:b/>
          <w:bCs/>
          <w:color w:val="000000"/>
          <w:sz w:val="24"/>
          <w:szCs w:val="24"/>
        </w:rPr>
        <w:t>Analysis and Findings</w:t>
      </w:r>
    </w:p>
    <w:p w:rsidR="002670F6" w:rsidRDefault="00FD0FCF">
      <w:pPr>
        <w:pStyle w:val="Heading3"/>
        <w:spacing w:before="120" w:line="480" w:lineRule="auto"/>
      </w:pPr>
      <w:r>
        <w:rPr>
          <w:b/>
          <w:bCs/>
          <w:i/>
          <w:iCs/>
          <w:color w:val="000000"/>
        </w:rPr>
        <w:t>Base Case Comparison: Traditional vs. AI-Informed Forecast</w:t>
      </w:r>
    </w:p>
    <w:p w:rsidR="002670F6" w:rsidRDefault="00FD0FCF">
      <w:pPr>
        <w:spacing w:line="480" w:lineRule="auto"/>
      </w:pPr>
      <w:r>
        <w:rPr>
          <w:sz w:val="24"/>
          <w:szCs w:val="24"/>
        </w:rPr>
        <w:t>Table 1 summarizes the cash flow assumptions and resulting NPV, IRR, and payback period for both forecasting approaches at the 9% base-case discount rate.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0"/>
        <w:gridCol w:w="3740"/>
        <w:gridCol w:w="3740"/>
      </w:tblGrid>
      <w:tr w:rsidR="002670F6">
        <w:tblPrEx>
          <w:tblCellMar>
            <w:top w:w="0" w:type="dxa"/>
            <w:bottom w:w="0" w:type="dxa"/>
          </w:tblCellMar>
        </w:tblPrEx>
        <w:tc>
          <w:tcPr>
            <w:tcW w:w="1000" w:type="pct"/>
            <w:shd w:val="solid" w:color="1F3A5F" w:fill="1F3A5F"/>
            <w:tcMar>
              <w:top w:w="80" w:type="dxa"/>
              <w:left w:w="100" w:type="dxa"/>
              <w:bottom w:w="80" w:type="dxa"/>
              <w:right w:w="100" w:type="dxa"/>
            </w:tcMar>
          </w:tcPr>
          <w:p w:rsidR="002670F6" w:rsidRDefault="00FD0FCF">
            <w:pPr>
              <w:jc w:val="center"/>
            </w:pPr>
            <w:r>
              <w:rPr>
                <w:b/>
                <w:bCs/>
                <w:color w:val="FFFFFF"/>
                <w:sz w:val="22"/>
                <w:szCs w:val="22"/>
              </w:rPr>
              <w:t>Year</w:t>
            </w:r>
          </w:p>
        </w:tc>
        <w:tc>
          <w:tcPr>
            <w:tcW w:w="2000" w:type="pct"/>
            <w:shd w:val="solid" w:color="1F3A5F" w:fill="1F3A5F"/>
            <w:tcMar>
              <w:top w:w="80" w:type="dxa"/>
              <w:left w:w="100" w:type="dxa"/>
              <w:bottom w:w="80" w:type="dxa"/>
              <w:right w:w="100" w:type="dxa"/>
            </w:tcMar>
          </w:tcPr>
          <w:p w:rsidR="002670F6" w:rsidRDefault="00FD0FCF">
            <w:pPr>
              <w:jc w:val="center"/>
            </w:pPr>
            <w:r>
              <w:rPr>
                <w:b/>
                <w:bCs/>
                <w:color w:val="FFFFFF"/>
                <w:sz w:val="22"/>
                <w:szCs w:val="22"/>
              </w:rPr>
              <w:t>Traditional (Flat) Forecast</w:t>
            </w:r>
          </w:p>
        </w:tc>
        <w:tc>
          <w:tcPr>
            <w:tcW w:w="2000" w:type="pct"/>
            <w:shd w:val="solid" w:color="1F3A5F" w:fill="1F3A5F"/>
            <w:tcMar>
              <w:top w:w="80" w:type="dxa"/>
              <w:left w:w="100" w:type="dxa"/>
              <w:bottom w:w="80" w:type="dxa"/>
              <w:right w:w="100" w:type="dxa"/>
            </w:tcMar>
          </w:tcPr>
          <w:p w:rsidR="002670F6" w:rsidRDefault="00FD0FCF">
            <w:pPr>
              <w:jc w:val="center"/>
            </w:pPr>
            <w:r>
              <w:rPr>
                <w:b/>
                <w:bCs/>
                <w:color w:val="FFFFFF"/>
                <w:sz w:val="22"/>
                <w:szCs w:val="22"/>
              </w:rPr>
              <w:t>AI-Informed Forecast</w:t>
            </w:r>
          </w:p>
        </w:tc>
      </w:tr>
      <w:tr w:rsidR="002670F6">
        <w:tblPrEx>
          <w:tblCellMar>
            <w:top w:w="0" w:type="dxa"/>
            <w:bottom w:w="0" w:type="dxa"/>
          </w:tblCellMar>
        </w:tblPrEx>
        <w:tc>
          <w:tcPr>
            <w:tcW w:w="1000" w:type="pct"/>
            <w:tcMar>
              <w:top w:w="80" w:type="dxa"/>
              <w:left w:w="100" w:type="dxa"/>
              <w:bottom w:w="80" w:type="dxa"/>
              <w:right w:w="100" w:type="dxa"/>
            </w:tcMar>
          </w:tcPr>
          <w:p w:rsidR="002670F6" w:rsidRDefault="00FD0FCF">
            <w:r>
              <w:rPr>
                <w:color w:val="000000"/>
                <w:sz w:val="22"/>
                <w:szCs w:val="22"/>
              </w:rPr>
              <w:t>1</w:t>
            </w:r>
          </w:p>
        </w:tc>
        <w:tc>
          <w:tcPr>
            <w:tcW w:w="2000" w:type="pct"/>
            <w:tcMar>
              <w:top w:w="80" w:type="dxa"/>
              <w:left w:w="100" w:type="dxa"/>
              <w:bottom w:w="80" w:type="dxa"/>
              <w:right w:w="100" w:type="dxa"/>
            </w:tcMar>
          </w:tcPr>
          <w:p w:rsidR="002670F6" w:rsidRDefault="00FD0FCF">
            <w:pPr>
              <w:jc w:val="center"/>
            </w:pPr>
            <w:r>
              <w:rPr>
                <w:color w:val="000000"/>
                <w:sz w:val="22"/>
                <w:szCs w:val="22"/>
              </w:rPr>
              <w:t>$340,000</w:t>
            </w:r>
          </w:p>
        </w:tc>
        <w:tc>
          <w:tcPr>
            <w:tcW w:w="2000" w:type="pct"/>
            <w:tcMar>
              <w:top w:w="80" w:type="dxa"/>
              <w:left w:w="100" w:type="dxa"/>
              <w:bottom w:w="80" w:type="dxa"/>
              <w:right w:w="100" w:type="dxa"/>
            </w:tcMar>
          </w:tcPr>
          <w:p w:rsidR="002670F6" w:rsidRDefault="00FD0FCF">
            <w:pPr>
              <w:jc w:val="center"/>
            </w:pPr>
            <w:r>
              <w:rPr>
                <w:color w:val="000000"/>
                <w:sz w:val="22"/>
                <w:szCs w:val="22"/>
              </w:rPr>
              <w:t>$310,000</w:t>
            </w:r>
          </w:p>
        </w:tc>
      </w:tr>
      <w:tr w:rsidR="002670F6">
        <w:tblPrEx>
          <w:tblCellMar>
            <w:top w:w="0" w:type="dxa"/>
            <w:bottom w:w="0" w:type="dxa"/>
          </w:tblCellMar>
        </w:tblPrEx>
        <w:tc>
          <w:tcPr>
            <w:tcW w:w="1000" w:type="pct"/>
            <w:tcMar>
              <w:top w:w="80" w:type="dxa"/>
              <w:left w:w="100" w:type="dxa"/>
              <w:bottom w:w="80" w:type="dxa"/>
              <w:right w:w="100" w:type="dxa"/>
            </w:tcMar>
          </w:tcPr>
          <w:p w:rsidR="002670F6" w:rsidRDefault="00FD0FCF">
            <w:r>
              <w:rPr>
                <w:color w:val="000000"/>
                <w:sz w:val="22"/>
                <w:szCs w:val="22"/>
              </w:rPr>
              <w:t>2</w:t>
            </w:r>
          </w:p>
        </w:tc>
        <w:tc>
          <w:tcPr>
            <w:tcW w:w="2000" w:type="pct"/>
            <w:tcMar>
              <w:top w:w="80" w:type="dxa"/>
              <w:left w:w="100" w:type="dxa"/>
              <w:bottom w:w="80" w:type="dxa"/>
              <w:right w:w="100" w:type="dxa"/>
            </w:tcMar>
          </w:tcPr>
          <w:p w:rsidR="002670F6" w:rsidRDefault="00FD0FCF">
            <w:pPr>
              <w:jc w:val="center"/>
            </w:pPr>
            <w:r>
              <w:rPr>
                <w:color w:val="000000"/>
                <w:sz w:val="22"/>
                <w:szCs w:val="22"/>
              </w:rPr>
              <w:t>$340,000</w:t>
            </w:r>
          </w:p>
        </w:tc>
        <w:tc>
          <w:tcPr>
            <w:tcW w:w="2000" w:type="pct"/>
            <w:tcMar>
              <w:top w:w="80" w:type="dxa"/>
              <w:left w:w="100" w:type="dxa"/>
              <w:bottom w:w="80" w:type="dxa"/>
              <w:right w:w="100" w:type="dxa"/>
            </w:tcMar>
          </w:tcPr>
          <w:p w:rsidR="002670F6" w:rsidRDefault="00FD0FCF">
            <w:pPr>
              <w:jc w:val="center"/>
            </w:pPr>
            <w:r>
              <w:rPr>
                <w:color w:val="000000"/>
                <w:sz w:val="22"/>
                <w:szCs w:val="22"/>
              </w:rPr>
              <w:t>$365,000</w:t>
            </w:r>
          </w:p>
        </w:tc>
      </w:tr>
      <w:tr w:rsidR="002670F6">
        <w:tblPrEx>
          <w:tblCellMar>
            <w:top w:w="0" w:type="dxa"/>
            <w:bottom w:w="0" w:type="dxa"/>
          </w:tblCellMar>
        </w:tblPrEx>
        <w:tc>
          <w:tcPr>
            <w:tcW w:w="1000" w:type="pct"/>
            <w:tcMar>
              <w:top w:w="80" w:type="dxa"/>
              <w:left w:w="100" w:type="dxa"/>
              <w:bottom w:w="80" w:type="dxa"/>
              <w:right w:w="100" w:type="dxa"/>
            </w:tcMar>
          </w:tcPr>
          <w:p w:rsidR="002670F6" w:rsidRDefault="00FD0FCF">
            <w:r>
              <w:rPr>
                <w:color w:val="000000"/>
                <w:sz w:val="22"/>
                <w:szCs w:val="22"/>
              </w:rPr>
              <w:t>3</w:t>
            </w:r>
          </w:p>
        </w:tc>
        <w:tc>
          <w:tcPr>
            <w:tcW w:w="2000" w:type="pct"/>
            <w:tcMar>
              <w:top w:w="80" w:type="dxa"/>
              <w:left w:w="100" w:type="dxa"/>
              <w:bottom w:w="80" w:type="dxa"/>
              <w:right w:w="100" w:type="dxa"/>
            </w:tcMar>
          </w:tcPr>
          <w:p w:rsidR="002670F6" w:rsidRDefault="00FD0FCF">
            <w:pPr>
              <w:jc w:val="center"/>
            </w:pPr>
            <w:r>
              <w:rPr>
                <w:color w:val="000000"/>
                <w:sz w:val="22"/>
                <w:szCs w:val="22"/>
              </w:rPr>
              <w:t>$340,000</w:t>
            </w:r>
          </w:p>
        </w:tc>
        <w:tc>
          <w:tcPr>
            <w:tcW w:w="2000" w:type="pct"/>
            <w:tcMar>
              <w:top w:w="80" w:type="dxa"/>
              <w:left w:w="100" w:type="dxa"/>
              <w:bottom w:w="80" w:type="dxa"/>
              <w:right w:w="100" w:type="dxa"/>
            </w:tcMar>
          </w:tcPr>
          <w:p w:rsidR="002670F6" w:rsidRDefault="00FD0FCF">
            <w:pPr>
              <w:jc w:val="center"/>
            </w:pPr>
            <w:r>
              <w:rPr>
                <w:color w:val="000000"/>
                <w:sz w:val="22"/>
                <w:szCs w:val="22"/>
              </w:rPr>
              <w:t>$410,000</w:t>
            </w:r>
          </w:p>
        </w:tc>
      </w:tr>
      <w:tr w:rsidR="002670F6">
        <w:tblPrEx>
          <w:tblCellMar>
            <w:top w:w="0" w:type="dxa"/>
            <w:bottom w:w="0" w:type="dxa"/>
          </w:tblCellMar>
        </w:tblPrEx>
        <w:tc>
          <w:tcPr>
            <w:tcW w:w="1000" w:type="pct"/>
            <w:tcMar>
              <w:top w:w="80" w:type="dxa"/>
              <w:left w:w="100" w:type="dxa"/>
              <w:bottom w:w="80" w:type="dxa"/>
              <w:right w:w="100" w:type="dxa"/>
            </w:tcMar>
          </w:tcPr>
          <w:p w:rsidR="002670F6" w:rsidRDefault="00FD0FCF">
            <w:r>
              <w:rPr>
                <w:color w:val="000000"/>
                <w:sz w:val="22"/>
                <w:szCs w:val="22"/>
              </w:rPr>
              <w:t>4</w:t>
            </w:r>
          </w:p>
        </w:tc>
        <w:tc>
          <w:tcPr>
            <w:tcW w:w="2000" w:type="pct"/>
            <w:tcMar>
              <w:top w:w="80" w:type="dxa"/>
              <w:left w:w="100" w:type="dxa"/>
              <w:bottom w:w="80" w:type="dxa"/>
              <w:right w:w="100" w:type="dxa"/>
            </w:tcMar>
          </w:tcPr>
          <w:p w:rsidR="002670F6" w:rsidRDefault="00FD0FCF">
            <w:pPr>
              <w:jc w:val="center"/>
            </w:pPr>
            <w:r>
              <w:rPr>
                <w:color w:val="000000"/>
                <w:sz w:val="22"/>
                <w:szCs w:val="22"/>
              </w:rPr>
              <w:t>$340,000</w:t>
            </w:r>
          </w:p>
        </w:tc>
        <w:tc>
          <w:tcPr>
            <w:tcW w:w="2000" w:type="pct"/>
            <w:tcMar>
              <w:top w:w="80" w:type="dxa"/>
              <w:left w:w="100" w:type="dxa"/>
              <w:bottom w:w="80" w:type="dxa"/>
              <w:right w:w="100" w:type="dxa"/>
            </w:tcMar>
          </w:tcPr>
          <w:p w:rsidR="002670F6" w:rsidRDefault="00FD0FCF">
            <w:pPr>
              <w:jc w:val="center"/>
            </w:pPr>
            <w:r>
              <w:rPr>
                <w:color w:val="000000"/>
                <w:sz w:val="22"/>
                <w:szCs w:val="22"/>
              </w:rPr>
              <w:t>$430,000</w:t>
            </w:r>
          </w:p>
        </w:tc>
      </w:tr>
      <w:tr w:rsidR="002670F6">
        <w:tblPrEx>
          <w:tblCellMar>
            <w:top w:w="0" w:type="dxa"/>
            <w:bottom w:w="0" w:type="dxa"/>
          </w:tblCellMar>
        </w:tblPrEx>
        <w:tc>
          <w:tcPr>
            <w:tcW w:w="1000" w:type="pct"/>
            <w:tcMar>
              <w:top w:w="80" w:type="dxa"/>
              <w:left w:w="100" w:type="dxa"/>
              <w:bottom w:w="80" w:type="dxa"/>
              <w:right w:w="100" w:type="dxa"/>
            </w:tcMar>
          </w:tcPr>
          <w:p w:rsidR="002670F6" w:rsidRDefault="00FD0FCF">
            <w:r>
              <w:rPr>
                <w:color w:val="000000"/>
                <w:sz w:val="22"/>
                <w:szCs w:val="22"/>
              </w:rPr>
              <w:t>5</w:t>
            </w:r>
          </w:p>
        </w:tc>
        <w:tc>
          <w:tcPr>
            <w:tcW w:w="2000" w:type="pct"/>
            <w:tcMar>
              <w:top w:w="80" w:type="dxa"/>
              <w:left w:w="100" w:type="dxa"/>
              <w:bottom w:w="80" w:type="dxa"/>
              <w:right w:w="100" w:type="dxa"/>
            </w:tcMar>
          </w:tcPr>
          <w:p w:rsidR="002670F6" w:rsidRDefault="00FD0FCF">
            <w:pPr>
              <w:jc w:val="center"/>
            </w:pPr>
            <w:r>
              <w:rPr>
                <w:color w:val="000000"/>
                <w:sz w:val="22"/>
                <w:szCs w:val="22"/>
              </w:rPr>
              <w:t>$340,000</w:t>
            </w:r>
          </w:p>
        </w:tc>
        <w:tc>
          <w:tcPr>
            <w:tcW w:w="2000" w:type="pct"/>
            <w:tcMar>
              <w:top w:w="80" w:type="dxa"/>
              <w:left w:w="100" w:type="dxa"/>
              <w:bottom w:w="80" w:type="dxa"/>
              <w:right w:w="100" w:type="dxa"/>
            </w:tcMar>
          </w:tcPr>
          <w:p w:rsidR="002670F6" w:rsidRDefault="00FD0FCF">
            <w:pPr>
              <w:jc w:val="center"/>
            </w:pPr>
            <w:r>
              <w:rPr>
                <w:color w:val="000000"/>
                <w:sz w:val="22"/>
                <w:szCs w:val="22"/>
              </w:rPr>
              <w:t>$445,000</w:t>
            </w:r>
          </w:p>
        </w:tc>
      </w:tr>
    </w:tbl>
    <w:p w:rsidR="002670F6" w:rsidRDefault="00FD0FCF">
      <w:pPr>
        <w:spacing w:line="480" w:lineRule="auto"/>
        <w:ind w:firstLine="720"/>
      </w:pPr>
      <w:r>
        <w:rPr>
          <w:sz w:val="24"/>
          <w:szCs w:val="24"/>
        </w:rPr>
        <w:lastRenderedPageBreak/>
        <w:t>Table 1. Annual cash flow assumptions, traditional versus AI-informed forecast (illustrative).</w:t>
      </w:r>
    </w:p>
    <w:p w:rsidR="002670F6" w:rsidRDefault="002670F6">
      <w:pPr>
        <w:spacing w:line="480" w:lineRule="auto"/>
        <w:ind w:firstLine="7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4"/>
        <w:gridCol w:w="3273"/>
        <w:gridCol w:w="3273"/>
      </w:tblGrid>
      <w:tr w:rsidR="002670F6">
        <w:tblPrEx>
          <w:tblCellMar>
            <w:top w:w="0" w:type="dxa"/>
            <w:bottom w:w="0" w:type="dxa"/>
          </w:tblCellMar>
        </w:tblPrEx>
        <w:tc>
          <w:tcPr>
            <w:tcW w:w="1500" w:type="pct"/>
            <w:shd w:val="solid" w:color="1F3A5F" w:fill="1F3A5F"/>
            <w:tcMar>
              <w:top w:w="80" w:type="dxa"/>
              <w:left w:w="100" w:type="dxa"/>
              <w:bottom w:w="80" w:type="dxa"/>
              <w:right w:w="100" w:type="dxa"/>
            </w:tcMar>
          </w:tcPr>
          <w:p w:rsidR="002670F6" w:rsidRDefault="00FD0FCF">
            <w:pPr>
              <w:jc w:val="center"/>
            </w:pPr>
            <w:r>
              <w:rPr>
                <w:b/>
                <w:bCs/>
                <w:color w:val="FFFFFF"/>
                <w:sz w:val="22"/>
                <w:szCs w:val="22"/>
              </w:rPr>
              <w:t>Metric</w:t>
            </w:r>
          </w:p>
        </w:tc>
        <w:tc>
          <w:tcPr>
            <w:tcW w:w="1750" w:type="pct"/>
            <w:shd w:val="solid" w:color="1F3A5F" w:fill="1F3A5F"/>
            <w:tcMar>
              <w:top w:w="80" w:type="dxa"/>
              <w:left w:w="100" w:type="dxa"/>
              <w:bottom w:w="80" w:type="dxa"/>
              <w:right w:w="100" w:type="dxa"/>
            </w:tcMar>
          </w:tcPr>
          <w:p w:rsidR="002670F6" w:rsidRDefault="00FD0FCF">
            <w:pPr>
              <w:jc w:val="center"/>
            </w:pPr>
            <w:r>
              <w:rPr>
                <w:b/>
                <w:bCs/>
                <w:color w:val="FFFFFF"/>
                <w:sz w:val="22"/>
                <w:szCs w:val="22"/>
              </w:rPr>
              <w:t>Traditional (Flat) Forecast</w:t>
            </w:r>
          </w:p>
        </w:tc>
        <w:tc>
          <w:tcPr>
            <w:tcW w:w="1750" w:type="pct"/>
            <w:shd w:val="solid" w:color="1F3A5F" w:fill="1F3A5F"/>
            <w:tcMar>
              <w:top w:w="80" w:type="dxa"/>
              <w:left w:w="100" w:type="dxa"/>
              <w:bottom w:w="80" w:type="dxa"/>
              <w:right w:w="100" w:type="dxa"/>
            </w:tcMar>
          </w:tcPr>
          <w:p w:rsidR="002670F6" w:rsidRDefault="00FD0FCF">
            <w:pPr>
              <w:jc w:val="center"/>
            </w:pPr>
            <w:r>
              <w:rPr>
                <w:b/>
                <w:bCs/>
                <w:color w:val="FFFFFF"/>
                <w:sz w:val="22"/>
                <w:szCs w:val="22"/>
              </w:rPr>
              <w:t>AI-Informed Forecast</w:t>
            </w:r>
          </w:p>
        </w:tc>
      </w:tr>
      <w:tr w:rsidR="002670F6">
        <w:tblPrEx>
          <w:tblCellMar>
            <w:top w:w="0" w:type="dxa"/>
            <w:bottom w:w="0" w:type="dxa"/>
          </w:tblCellMar>
        </w:tblPrEx>
        <w:tc>
          <w:tcPr>
            <w:tcW w:w="1500" w:type="pct"/>
            <w:tcMar>
              <w:top w:w="80" w:type="dxa"/>
              <w:left w:w="100" w:type="dxa"/>
              <w:bottom w:w="80" w:type="dxa"/>
              <w:right w:w="100" w:type="dxa"/>
            </w:tcMar>
          </w:tcPr>
          <w:p w:rsidR="002670F6" w:rsidRDefault="00FD0FCF">
            <w:r>
              <w:rPr>
                <w:color w:val="000000"/>
                <w:sz w:val="22"/>
                <w:szCs w:val="22"/>
              </w:rPr>
              <w:t>Present Value of Cash Flows</w:t>
            </w:r>
          </w:p>
        </w:tc>
        <w:tc>
          <w:tcPr>
            <w:tcW w:w="1750" w:type="pct"/>
            <w:tcMar>
              <w:top w:w="80" w:type="dxa"/>
              <w:left w:w="100" w:type="dxa"/>
              <w:bottom w:w="80" w:type="dxa"/>
              <w:right w:w="100" w:type="dxa"/>
            </w:tcMar>
          </w:tcPr>
          <w:p w:rsidR="002670F6" w:rsidRDefault="00FD0FCF">
            <w:pPr>
              <w:jc w:val="center"/>
            </w:pPr>
            <w:r>
              <w:rPr>
                <w:color w:val="000000"/>
                <w:sz w:val="22"/>
                <w:szCs w:val="22"/>
              </w:rPr>
              <w:t>$1,322,481</w:t>
            </w:r>
          </w:p>
        </w:tc>
        <w:tc>
          <w:tcPr>
            <w:tcW w:w="1750" w:type="pct"/>
            <w:tcMar>
              <w:top w:w="80" w:type="dxa"/>
              <w:left w:w="100" w:type="dxa"/>
              <w:bottom w:w="80" w:type="dxa"/>
              <w:right w:w="100" w:type="dxa"/>
            </w:tcMar>
          </w:tcPr>
          <w:p w:rsidR="002670F6" w:rsidRDefault="00FD0FCF">
            <w:pPr>
              <w:jc w:val="center"/>
            </w:pPr>
            <w:r>
              <w:rPr>
                <w:color w:val="000000"/>
                <w:sz w:val="22"/>
                <w:szCs w:val="22"/>
              </w:rPr>
              <w:t>$1,502,054</w:t>
            </w:r>
          </w:p>
        </w:tc>
      </w:tr>
      <w:tr w:rsidR="002670F6">
        <w:tblPrEx>
          <w:tblCellMar>
            <w:top w:w="0" w:type="dxa"/>
            <w:bottom w:w="0" w:type="dxa"/>
          </w:tblCellMar>
        </w:tblPrEx>
        <w:tc>
          <w:tcPr>
            <w:tcW w:w="1500" w:type="pct"/>
            <w:tcMar>
              <w:top w:w="80" w:type="dxa"/>
              <w:left w:w="100" w:type="dxa"/>
              <w:bottom w:w="80" w:type="dxa"/>
              <w:right w:w="100" w:type="dxa"/>
            </w:tcMar>
          </w:tcPr>
          <w:p w:rsidR="002670F6" w:rsidRDefault="00FD0FCF">
            <w:r>
              <w:rPr>
                <w:color w:val="000000"/>
                <w:sz w:val="22"/>
                <w:szCs w:val="22"/>
              </w:rPr>
              <w:t>Net Present Value</w:t>
            </w:r>
          </w:p>
        </w:tc>
        <w:tc>
          <w:tcPr>
            <w:tcW w:w="1750" w:type="pct"/>
            <w:tcMar>
              <w:top w:w="80" w:type="dxa"/>
              <w:left w:w="100" w:type="dxa"/>
              <w:bottom w:w="80" w:type="dxa"/>
              <w:right w:w="100" w:type="dxa"/>
            </w:tcMar>
          </w:tcPr>
          <w:p w:rsidR="002670F6" w:rsidRDefault="00FD0FCF">
            <w:pPr>
              <w:jc w:val="center"/>
            </w:pPr>
            <w:r>
              <w:rPr>
                <w:color w:val="000000"/>
                <w:sz w:val="22"/>
                <w:szCs w:val="22"/>
              </w:rPr>
              <w:t>$122,481</w:t>
            </w:r>
          </w:p>
        </w:tc>
        <w:tc>
          <w:tcPr>
            <w:tcW w:w="1750" w:type="pct"/>
            <w:tcMar>
              <w:top w:w="80" w:type="dxa"/>
              <w:left w:w="100" w:type="dxa"/>
              <w:bottom w:w="80" w:type="dxa"/>
              <w:right w:w="100" w:type="dxa"/>
            </w:tcMar>
          </w:tcPr>
          <w:p w:rsidR="002670F6" w:rsidRDefault="00FD0FCF">
            <w:pPr>
              <w:jc w:val="center"/>
            </w:pPr>
            <w:r>
              <w:rPr>
                <w:color w:val="000000"/>
                <w:sz w:val="22"/>
                <w:szCs w:val="22"/>
              </w:rPr>
              <w:t>$302,054</w:t>
            </w:r>
          </w:p>
        </w:tc>
      </w:tr>
      <w:tr w:rsidR="002670F6">
        <w:tblPrEx>
          <w:tblCellMar>
            <w:top w:w="0" w:type="dxa"/>
            <w:bottom w:w="0" w:type="dxa"/>
          </w:tblCellMar>
        </w:tblPrEx>
        <w:tc>
          <w:tcPr>
            <w:tcW w:w="1500" w:type="pct"/>
            <w:tcMar>
              <w:top w:w="80" w:type="dxa"/>
              <w:left w:w="100" w:type="dxa"/>
              <w:bottom w:w="80" w:type="dxa"/>
              <w:right w:w="100" w:type="dxa"/>
            </w:tcMar>
          </w:tcPr>
          <w:p w:rsidR="002670F6" w:rsidRDefault="00FD0FCF">
            <w:r>
              <w:rPr>
                <w:color w:val="000000"/>
                <w:sz w:val="22"/>
                <w:szCs w:val="22"/>
              </w:rPr>
              <w:t>Internal Rate of Return</w:t>
            </w:r>
          </w:p>
        </w:tc>
        <w:tc>
          <w:tcPr>
            <w:tcW w:w="1750" w:type="pct"/>
            <w:tcMar>
              <w:top w:w="80" w:type="dxa"/>
              <w:left w:w="100" w:type="dxa"/>
              <w:bottom w:w="80" w:type="dxa"/>
              <w:right w:w="100" w:type="dxa"/>
            </w:tcMar>
          </w:tcPr>
          <w:p w:rsidR="002670F6" w:rsidRDefault="00FD0FCF">
            <w:pPr>
              <w:jc w:val="center"/>
            </w:pPr>
            <w:r>
              <w:rPr>
                <w:color w:val="000000"/>
                <w:sz w:val="22"/>
                <w:szCs w:val="22"/>
              </w:rPr>
              <w:t>12.86%</w:t>
            </w:r>
          </w:p>
        </w:tc>
        <w:tc>
          <w:tcPr>
            <w:tcW w:w="1750" w:type="pct"/>
            <w:tcMar>
              <w:top w:w="80" w:type="dxa"/>
              <w:left w:w="100" w:type="dxa"/>
              <w:bottom w:w="80" w:type="dxa"/>
              <w:right w:w="100" w:type="dxa"/>
            </w:tcMar>
          </w:tcPr>
          <w:p w:rsidR="002670F6" w:rsidRDefault="00FD0FCF">
            <w:pPr>
              <w:jc w:val="center"/>
            </w:pPr>
            <w:r>
              <w:rPr>
                <w:color w:val="000000"/>
                <w:sz w:val="22"/>
                <w:szCs w:val="22"/>
              </w:rPr>
              <w:t>17.68%</w:t>
            </w:r>
          </w:p>
        </w:tc>
      </w:tr>
      <w:tr w:rsidR="002670F6">
        <w:tblPrEx>
          <w:tblCellMar>
            <w:top w:w="0" w:type="dxa"/>
            <w:bottom w:w="0" w:type="dxa"/>
          </w:tblCellMar>
        </w:tblPrEx>
        <w:tc>
          <w:tcPr>
            <w:tcW w:w="1500" w:type="pct"/>
            <w:tcMar>
              <w:top w:w="80" w:type="dxa"/>
              <w:left w:w="100" w:type="dxa"/>
              <w:bottom w:w="80" w:type="dxa"/>
              <w:right w:w="100" w:type="dxa"/>
            </w:tcMar>
          </w:tcPr>
          <w:p w:rsidR="002670F6" w:rsidRDefault="00FD0FCF">
            <w:r>
              <w:rPr>
                <w:color w:val="000000"/>
                <w:sz w:val="22"/>
                <w:szCs w:val="22"/>
              </w:rPr>
              <w:t>Payback Period</w:t>
            </w:r>
          </w:p>
        </w:tc>
        <w:tc>
          <w:tcPr>
            <w:tcW w:w="1750" w:type="pct"/>
            <w:tcMar>
              <w:top w:w="80" w:type="dxa"/>
              <w:left w:w="100" w:type="dxa"/>
              <w:bottom w:w="80" w:type="dxa"/>
              <w:right w:w="100" w:type="dxa"/>
            </w:tcMar>
          </w:tcPr>
          <w:p w:rsidR="002670F6" w:rsidRDefault="00FD0FCF">
            <w:pPr>
              <w:jc w:val="center"/>
            </w:pPr>
            <w:r>
              <w:rPr>
                <w:color w:val="000000"/>
                <w:sz w:val="22"/>
                <w:szCs w:val="22"/>
              </w:rPr>
              <w:t>3.53 years</w:t>
            </w:r>
          </w:p>
        </w:tc>
        <w:tc>
          <w:tcPr>
            <w:tcW w:w="1750" w:type="pct"/>
            <w:tcMar>
              <w:top w:w="80" w:type="dxa"/>
              <w:left w:w="100" w:type="dxa"/>
              <w:bottom w:w="80" w:type="dxa"/>
              <w:right w:w="100" w:type="dxa"/>
            </w:tcMar>
          </w:tcPr>
          <w:p w:rsidR="002670F6" w:rsidRDefault="00FD0FCF">
            <w:pPr>
              <w:jc w:val="center"/>
            </w:pPr>
            <w:r>
              <w:rPr>
                <w:color w:val="000000"/>
                <w:sz w:val="22"/>
                <w:szCs w:val="22"/>
              </w:rPr>
              <w:t>3.27 years</w:t>
            </w:r>
          </w:p>
        </w:tc>
      </w:tr>
    </w:tbl>
    <w:p w:rsidR="002670F6" w:rsidRDefault="00FD0FCF">
      <w:pPr>
        <w:spacing w:line="480" w:lineRule="auto"/>
        <w:ind w:firstLine="720"/>
      </w:pPr>
      <w:r>
        <w:rPr>
          <w:sz w:val="24"/>
          <w:szCs w:val="24"/>
        </w:rPr>
        <w:t>Table 2. NPV, IRR, and payback period, traditional versus AI-informed forecast, at a 9% discount rate (illustrative).</w:t>
      </w:r>
    </w:p>
    <w:p w:rsidR="002670F6" w:rsidRDefault="002670F6">
      <w:pPr>
        <w:spacing w:line="480" w:lineRule="auto"/>
        <w:ind w:firstLine="720"/>
      </w:pPr>
    </w:p>
    <w:p w:rsidR="002670F6" w:rsidRDefault="00FD0FCF">
      <w:pPr>
        <w:spacing w:line="480" w:lineRule="auto"/>
      </w:pPr>
      <w:r>
        <w:rPr>
          <w:sz w:val="24"/>
          <w:szCs w:val="24"/>
        </w:rPr>
        <w:t>Both forecasts produce a positive NPV, meaning both approaches would support proceeding with the investment. The AI-informed forecast, however, produces a substantially higher NPV ($302,054 versus $122,481), a higher IRR (17.68% versus 12.86%), and a short</w:t>
      </w:r>
      <w:r>
        <w:rPr>
          <w:sz w:val="24"/>
          <w:szCs w:val="24"/>
        </w:rPr>
        <w:t>er payback period (3.27 years versus 3.53 years) than the traditional flat estimate. This difference arises entirely from the shape of the cash flow stream rather than its total size across the five years; the AI-informed forecast is not simply larger in e</w:t>
      </w:r>
      <w:r>
        <w:rPr>
          <w:sz w:val="24"/>
          <w:szCs w:val="24"/>
        </w:rPr>
        <w:t>very period, it is smaller in Year 1 ($310,000 versus $340,000) and larger in Years 2 through 5. Because NPV weights earlier cash flows more heavily under discounting, a flat estimate that front-loads value relative to a realistic ramp can understate a pro</w:t>
      </w:r>
      <w:r>
        <w:rPr>
          <w:sz w:val="24"/>
          <w:szCs w:val="24"/>
        </w:rPr>
        <w:t>ject's true value if the ramp assumption is the more accurate one, which is the central finding this paper set out to investigate.</w:t>
      </w:r>
    </w:p>
    <w:p w:rsidR="002670F6" w:rsidRDefault="00FD0FCF">
      <w:pPr>
        <w:pStyle w:val="Heading3"/>
        <w:spacing w:before="120" w:line="480" w:lineRule="auto"/>
      </w:pPr>
      <w:r>
        <w:rPr>
          <w:b/>
          <w:bCs/>
          <w:i/>
          <w:iCs/>
          <w:color w:val="000000"/>
        </w:rPr>
        <w:t>Sensitivity Analysis</w:t>
      </w:r>
    </w:p>
    <w:p w:rsidR="002670F6" w:rsidRDefault="00FD0FCF">
      <w:pPr>
        <w:spacing w:line="480" w:lineRule="auto"/>
      </w:pPr>
      <w:r>
        <w:rPr>
          <w:sz w:val="24"/>
          <w:szCs w:val="24"/>
        </w:rPr>
        <w:t>Table 3 presents one-variable-at-a-time sensitivity analysis applied to the AI-informed forecast, holdin</w:t>
      </w:r>
      <w:r>
        <w:rPr>
          <w:sz w:val="24"/>
          <w:szCs w:val="24"/>
        </w:rPr>
        <w:t>g all other assumptions at their base-case value.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4"/>
        <w:gridCol w:w="2151"/>
        <w:gridCol w:w="2244"/>
        <w:gridCol w:w="2151"/>
      </w:tblGrid>
      <w:tr w:rsidR="002670F6">
        <w:tblPrEx>
          <w:tblCellMar>
            <w:top w:w="0" w:type="dxa"/>
            <w:bottom w:w="0" w:type="dxa"/>
          </w:tblCellMar>
        </w:tblPrEx>
        <w:tc>
          <w:tcPr>
            <w:tcW w:w="1500" w:type="pct"/>
            <w:shd w:val="solid" w:color="1F3A5F" w:fill="1F3A5F"/>
            <w:tcMar>
              <w:top w:w="80" w:type="dxa"/>
              <w:left w:w="100" w:type="dxa"/>
              <w:bottom w:w="80" w:type="dxa"/>
              <w:right w:w="100" w:type="dxa"/>
            </w:tcMar>
          </w:tcPr>
          <w:p w:rsidR="002670F6" w:rsidRDefault="00FD0FCF">
            <w:pPr>
              <w:jc w:val="center"/>
            </w:pPr>
            <w:r>
              <w:rPr>
                <w:b/>
                <w:bCs/>
                <w:color w:val="FFFFFF"/>
                <w:sz w:val="22"/>
                <w:szCs w:val="22"/>
              </w:rPr>
              <w:lastRenderedPageBreak/>
              <w:t>Variable Tested</w:t>
            </w:r>
          </w:p>
        </w:tc>
        <w:tc>
          <w:tcPr>
            <w:tcW w:w="1150" w:type="pct"/>
            <w:shd w:val="solid" w:color="1F3A5F" w:fill="1F3A5F"/>
            <w:tcMar>
              <w:top w:w="80" w:type="dxa"/>
              <w:left w:w="100" w:type="dxa"/>
              <w:bottom w:w="80" w:type="dxa"/>
              <w:right w:w="100" w:type="dxa"/>
            </w:tcMar>
          </w:tcPr>
          <w:p w:rsidR="002670F6" w:rsidRDefault="00FD0FCF">
            <w:pPr>
              <w:jc w:val="center"/>
            </w:pPr>
            <w:r>
              <w:rPr>
                <w:b/>
                <w:bCs/>
                <w:color w:val="FFFFFF"/>
                <w:sz w:val="22"/>
                <w:szCs w:val="22"/>
              </w:rPr>
              <w:t>Low Case</w:t>
            </w:r>
          </w:p>
        </w:tc>
        <w:tc>
          <w:tcPr>
            <w:tcW w:w="1200" w:type="pct"/>
            <w:shd w:val="solid" w:color="1F3A5F" w:fill="1F3A5F"/>
            <w:tcMar>
              <w:top w:w="80" w:type="dxa"/>
              <w:left w:w="100" w:type="dxa"/>
              <w:bottom w:w="80" w:type="dxa"/>
              <w:right w:w="100" w:type="dxa"/>
            </w:tcMar>
          </w:tcPr>
          <w:p w:rsidR="002670F6" w:rsidRDefault="00FD0FCF">
            <w:pPr>
              <w:jc w:val="center"/>
            </w:pPr>
            <w:r>
              <w:rPr>
                <w:b/>
                <w:bCs/>
                <w:color w:val="FFFFFF"/>
                <w:sz w:val="22"/>
                <w:szCs w:val="22"/>
              </w:rPr>
              <w:t>Base Case</w:t>
            </w:r>
          </w:p>
        </w:tc>
        <w:tc>
          <w:tcPr>
            <w:tcW w:w="1150" w:type="pct"/>
            <w:shd w:val="solid" w:color="1F3A5F" w:fill="1F3A5F"/>
            <w:tcMar>
              <w:top w:w="80" w:type="dxa"/>
              <w:left w:w="100" w:type="dxa"/>
              <w:bottom w:w="80" w:type="dxa"/>
              <w:right w:w="100" w:type="dxa"/>
            </w:tcMar>
          </w:tcPr>
          <w:p w:rsidR="002670F6" w:rsidRDefault="00FD0FCF">
            <w:pPr>
              <w:jc w:val="center"/>
            </w:pPr>
            <w:r>
              <w:rPr>
                <w:b/>
                <w:bCs/>
                <w:color w:val="FFFFFF"/>
                <w:sz w:val="22"/>
                <w:szCs w:val="22"/>
              </w:rPr>
              <w:t>High Case</w:t>
            </w:r>
          </w:p>
        </w:tc>
      </w:tr>
      <w:tr w:rsidR="002670F6">
        <w:tblPrEx>
          <w:tblCellMar>
            <w:top w:w="0" w:type="dxa"/>
            <w:bottom w:w="0" w:type="dxa"/>
          </w:tblCellMar>
        </w:tblPrEx>
        <w:tc>
          <w:tcPr>
            <w:tcW w:w="1500" w:type="pct"/>
            <w:tcMar>
              <w:top w:w="80" w:type="dxa"/>
              <w:left w:w="100" w:type="dxa"/>
              <w:bottom w:w="80" w:type="dxa"/>
              <w:right w:w="100" w:type="dxa"/>
            </w:tcMar>
          </w:tcPr>
          <w:p w:rsidR="002670F6" w:rsidRDefault="00FD0FCF">
            <w:r>
              <w:rPr>
                <w:color w:val="000000"/>
                <w:sz w:val="22"/>
                <w:szCs w:val="22"/>
              </w:rPr>
              <w:t>Discount rate (7% / 9% / 11%)</w:t>
            </w:r>
          </w:p>
        </w:tc>
        <w:tc>
          <w:tcPr>
            <w:tcW w:w="1150" w:type="pct"/>
            <w:tcMar>
              <w:top w:w="80" w:type="dxa"/>
              <w:left w:w="100" w:type="dxa"/>
              <w:bottom w:w="80" w:type="dxa"/>
              <w:right w:w="100" w:type="dxa"/>
            </w:tcMar>
          </w:tcPr>
          <w:p w:rsidR="002670F6" w:rsidRDefault="00FD0FCF">
            <w:pPr>
              <w:jc w:val="center"/>
            </w:pPr>
            <w:r>
              <w:rPr>
                <w:color w:val="000000"/>
                <w:sz w:val="22"/>
                <w:szCs w:val="22"/>
              </w:rPr>
              <w:t>NPV = $388,531</w:t>
            </w:r>
          </w:p>
        </w:tc>
        <w:tc>
          <w:tcPr>
            <w:tcW w:w="1200" w:type="pct"/>
            <w:tcMar>
              <w:top w:w="80" w:type="dxa"/>
              <w:left w:w="100" w:type="dxa"/>
              <w:bottom w:w="80" w:type="dxa"/>
              <w:right w:w="100" w:type="dxa"/>
            </w:tcMar>
          </w:tcPr>
          <w:p w:rsidR="002670F6" w:rsidRDefault="00FD0FCF">
            <w:pPr>
              <w:jc w:val="center"/>
            </w:pPr>
            <w:r>
              <w:rPr>
                <w:color w:val="000000"/>
                <w:sz w:val="22"/>
                <w:szCs w:val="22"/>
              </w:rPr>
              <w:t>NPV = $302,054</w:t>
            </w:r>
          </w:p>
        </w:tc>
        <w:tc>
          <w:tcPr>
            <w:tcW w:w="1150" w:type="pct"/>
            <w:tcMar>
              <w:top w:w="80" w:type="dxa"/>
              <w:left w:w="100" w:type="dxa"/>
              <w:bottom w:w="80" w:type="dxa"/>
              <w:right w:w="100" w:type="dxa"/>
            </w:tcMar>
          </w:tcPr>
          <w:p w:rsidR="002670F6" w:rsidRDefault="00FD0FCF">
            <w:pPr>
              <w:jc w:val="center"/>
            </w:pPr>
            <w:r>
              <w:rPr>
                <w:color w:val="000000"/>
                <w:sz w:val="22"/>
                <w:szCs w:val="22"/>
              </w:rPr>
              <w:t>NPV = $222,650</w:t>
            </w:r>
          </w:p>
        </w:tc>
      </w:tr>
      <w:tr w:rsidR="002670F6">
        <w:tblPrEx>
          <w:tblCellMar>
            <w:top w:w="0" w:type="dxa"/>
            <w:bottom w:w="0" w:type="dxa"/>
          </w:tblCellMar>
        </w:tblPrEx>
        <w:tc>
          <w:tcPr>
            <w:tcW w:w="1500" w:type="pct"/>
            <w:tcMar>
              <w:top w:w="80" w:type="dxa"/>
              <w:left w:w="100" w:type="dxa"/>
              <w:bottom w:w="80" w:type="dxa"/>
              <w:right w:w="100" w:type="dxa"/>
            </w:tcMar>
          </w:tcPr>
          <w:p w:rsidR="002670F6" w:rsidRDefault="00FD0FCF">
            <w:r>
              <w:rPr>
                <w:color w:val="000000"/>
                <w:sz w:val="22"/>
                <w:szCs w:val="22"/>
              </w:rPr>
              <w:t>Initial investment (–10% / base / +10%)</w:t>
            </w:r>
          </w:p>
        </w:tc>
        <w:tc>
          <w:tcPr>
            <w:tcW w:w="1150" w:type="pct"/>
            <w:tcMar>
              <w:top w:w="80" w:type="dxa"/>
              <w:left w:w="100" w:type="dxa"/>
              <w:bottom w:w="80" w:type="dxa"/>
              <w:right w:w="100" w:type="dxa"/>
            </w:tcMar>
          </w:tcPr>
          <w:p w:rsidR="002670F6" w:rsidRDefault="00FD0FCF">
            <w:pPr>
              <w:jc w:val="center"/>
            </w:pPr>
            <w:r>
              <w:rPr>
                <w:color w:val="000000"/>
                <w:sz w:val="22"/>
                <w:szCs w:val="22"/>
              </w:rPr>
              <w:t>NPV = $422,054</w:t>
            </w:r>
          </w:p>
        </w:tc>
        <w:tc>
          <w:tcPr>
            <w:tcW w:w="1200" w:type="pct"/>
            <w:tcMar>
              <w:top w:w="80" w:type="dxa"/>
              <w:left w:w="100" w:type="dxa"/>
              <w:bottom w:w="80" w:type="dxa"/>
              <w:right w:w="100" w:type="dxa"/>
            </w:tcMar>
          </w:tcPr>
          <w:p w:rsidR="002670F6" w:rsidRDefault="00FD0FCF">
            <w:pPr>
              <w:jc w:val="center"/>
            </w:pPr>
            <w:r>
              <w:rPr>
                <w:color w:val="000000"/>
                <w:sz w:val="22"/>
                <w:szCs w:val="22"/>
              </w:rPr>
              <w:t>NPV = $302,054</w:t>
            </w:r>
          </w:p>
        </w:tc>
        <w:tc>
          <w:tcPr>
            <w:tcW w:w="1150" w:type="pct"/>
            <w:tcMar>
              <w:top w:w="80" w:type="dxa"/>
              <w:left w:w="100" w:type="dxa"/>
              <w:bottom w:w="80" w:type="dxa"/>
              <w:right w:w="100" w:type="dxa"/>
            </w:tcMar>
          </w:tcPr>
          <w:p w:rsidR="002670F6" w:rsidRDefault="00FD0FCF">
            <w:pPr>
              <w:jc w:val="center"/>
            </w:pPr>
            <w:r>
              <w:rPr>
                <w:color w:val="000000"/>
                <w:sz w:val="22"/>
                <w:szCs w:val="22"/>
              </w:rPr>
              <w:t>NPV = $182,054</w:t>
            </w:r>
          </w:p>
        </w:tc>
      </w:tr>
      <w:tr w:rsidR="002670F6">
        <w:tblPrEx>
          <w:tblCellMar>
            <w:top w:w="0" w:type="dxa"/>
            <w:bottom w:w="0" w:type="dxa"/>
          </w:tblCellMar>
        </w:tblPrEx>
        <w:tc>
          <w:tcPr>
            <w:tcW w:w="1500" w:type="pct"/>
            <w:tcMar>
              <w:top w:w="80" w:type="dxa"/>
              <w:left w:w="100" w:type="dxa"/>
              <w:bottom w:w="80" w:type="dxa"/>
              <w:right w:w="100" w:type="dxa"/>
            </w:tcMar>
          </w:tcPr>
          <w:p w:rsidR="002670F6" w:rsidRDefault="00FD0FCF">
            <w:r>
              <w:rPr>
                <w:color w:val="000000"/>
                <w:sz w:val="22"/>
                <w:szCs w:val="22"/>
              </w:rPr>
              <w:t>Annual cash flow (–10% / base / +10%)</w:t>
            </w:r>
          </w:p>
        </w:tc>
        <w:tc>
          <w:tcPr>
            <w:tcW w:w="1150" w:type="pct"/>
            <w:tcMar>
              <w:top w:w="80" w:type="dxa"/>
              <w:left w:w="100" w:type="dxa"/>
              <w:bottom w:w="80" w:type="dxa"/>
              <w:right w:w="100" w:type="dxa"/>
            </w:tcMar>
          </w:tcPr>
          <w:p w:rsidR="002670F6" w:rsidRDefault="00FD0FCF">
            <w:pPr>
              <w:jc w:val="center"/>
            </w:pPr>
            <w:r>
              <w:rPr>
                <w:color w:val="000000"/>
                <w:sz w:val="22"/>
                <w:szCs w:val="22"/>
              </w:rPr>
              <w:t>NPV = $151,849</w:t>
            </w:r>
          </w:p>
        </w:tc>
        <w:tc>
          <w:tcPr>
            <w:tcW w:w="1200" w:type="pct"/>
            <w:tcMar>
              <w:top w:w="80" w:type="dxa"/>
              <w:left w:w="100" w:type="dxa"/>
              <w:bottom w:w="80" w:type="dxa"/>
              <w:right w:w="100" w:type="dxa"/>
            </w:tcMar>
          </w:tcPr>
          <w:p w:rsidR="002670F6" w:rsidRDefault="00FD0FCF">
            <w:pPr>
              <w:jc w:val="center"/>
            </w:pPr>
            <w:r>
              <w:rPr>
                <w:color w:val="000000"/>
                <w:sz w:val="22"/>
                <w:szCs w:val="22"/>
              </w:rPr>
              <w:t>NPV = $302,054</w:t>
            </w:r>
          </w:p>
        </w:tc>
        <w:tc>
          <w:tcPr>
            <w:tcW w:w="1150" w:type="pct"/>
            <w:tcMar>
              <w:top w:w="80" w:type="dxa"/>
              <w:left w:w="100" w:type="dxa"/>
              <w:bottom w:w="80" w:type="dxa"/>
              <w:right w:w="100" w:type="dxa"/>
            </w:tcMar>
          </w:tcPr>
          <w:p w:rsidR="002670F6" w:rsidRDefault="00FD0FCF">
            <w:pPr>
              <w:jc w:val="center"/>
            </w:pPr>
            <w:r>
              <w:rPr>
                <w:color w:val="000000"/>
                <w:sz w:val="22"/>
                <w:szCs w:val="22"/>
              </w:rPr>
              <w:t>NPV = $452,260</w:t>
            </w:r>
          </w:p>
        </w:tc>
      </w:tr>
    </w:tbl>
    <w:p w:rsidR="002670F6" w:rsidRDefault="00FD0FCF">
      <w:pPr>
        <w:spacing w:line="480" w:lineRule="auto"/>
        <w:ind w:firstLine="720"/>
      </w:pPr>
      <w:r>
        <w:rPr>
          <w:sz w:val="24"/>
          <w:szCs w:val="24"/>
        </w:rPr>
        <w:t>Table 3. Sensitivity analysis, AI-informed forecast, one variable at a time (illustrative).</w:t>
      </w:r>
    </w:p>
    <w:p w:rsidR="002670F6" w:rsidRDefault="002670F6">
      <w:pPr>
        <w:spacing w:line="480" w:lineRule="auto"/>
        <w:ind w:firstLine="720"/>
      </w:pPr>
    </w:p>
    <w:p w:rsidR="002670F6" w:rsidRDefault="00FD0FCF">
      <w:pPr>
        <w:spacing w:line="480" w:lineRule="auto"/>
      </w:pPr>
      <w:r>
        <w:rPr>
          <w:sz w:val="24"/>
          <w:szCs w:val="24"/>
        </w:rPr>
        <w:t>The investment remains NPV-positive across every tested value in Table 3, ind</w:t>
      </w:r>
      <w:r>
        <w:rPr>
          <w:sz w:val="24"/>
          <w:szCs w:val="24"/>
        </w:rPr>
        <w:t>icating the base-case decision is reasonably robust to individual assumption changes within these ranges. The project's value is most sensitive to the annual cash flow assumption, where a 10% swing in either direction moves NPV by roughly $150,000, and com</w:t>
      </w:r>
      <w:r>
        <w:rPr>
          <w:sz w:val="24"/>
          <w:szCs w:val="24"/>
        </w:rPr>
        <w:t xml:space="preserve">paratively less sensitive to the discount rate within the tested 7%–11% band. This pattern suggests that, for this illustrative case, further effort spent validating the cash flow forecast itself would do more to reduce decision risk than further refining </w:t>
      </w:r>
      <w:r>
        <w:rPr>
          <w:sz w:val="24"/>
          <w:szCs w:val="24"/>
        </w:rPr>
        <w:t>the discount rate assumption.</w:t>
      </w:r>
    </w:p>
    <w:p w:rsidR="002670F6" w:rsidRDefault="00FD0FCF">
      <w:pPr>
        <w:pStyle w:val="Heading3"/>
        <w:spacing w:before="120" w:line="480" w:lineRule="auto"/>
      </w:pPr>
      <w:r>
        <w:rPr>
          <w:b/>
          <w:bCs/>
          <w:i/>
          <w:iCs/>
          <w:color w:val="000000"/>
        </w:rPr>
        <w:t>Scenario Analysis</w:t>
      </w:r>
    </w:p>
    <w:p w:rsidR="002670F6" w:rsidRDefault="00FD0FCF">
      <w:pPr>
        <w:spacing w:line="480" w:lineRule="auto"/>
      </w:pPr>
      <w:r>
        <w:rPr>
          <w:sz w:val="24"/>
          <w:szCs w:val="24"/>
        </w:rPr>
        <w:t>Table 4 presents an integrated three-scenario analysis, in which multiple assumptions are adjusted simultaneously in a directionally consistent way for each scenario, rather than one at a time.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3"/>
        <w:gridCol w:w="5797"/>
        <w:gridCol w:w="1870"/>
      </w:tblGrid>
      <w:tr w:rsidR="002670F6">
        <w:tblPrEx>
          <w:tblCellMar>
            <w:top w:w="0" w:type="dxa"/>
            <w:bottom w:w="0" w:type="dxa"/>
          </w:tblCellMar>
        </w:tblPrEx>
        <w:tc>
          <w:tcPr>
            <w:tcW w:w="900" w:type="pct"/>
            <w:shd w:val="solid" w:color="1F3A5F" w:fill="1F3A5F"/>
            <w:tcMar>
              <w:top w:w="80" w:type="dxa"/>
              <w:left w:w="100" w:type="dxa"/>
              <w:bottom w:w="80" w:type="dxa"/>
              <w:right w:w="100" w:type="dxa"/>
            </w:tcMar>
          </w:tcPr>
          <w:p w:rsidR="002670F6" w:rsidRDefault="00FD0FCF">
            <w:pPr>
              <w:jc w:val="center"/>
            </w:pPr>
            <w:r>
              <w:rPr>
                <w:b/>
                <w:bCs/>
                <w:color w:val="FFFFFF"/>
                <w:sz w:val="22"/>
                <w:szCs w:val="22"/>
              </w:rPr>
              <w:t>Scenario</w:t>
            </w:r>
          </w:p>
        </w:tc>
        <w:tc>
          <w:tcPr>
            <w:tcW w:w="3100" w:type="pct"/>
            <w:shd w:val="solid" w:color="1F3A5F" w:fill="1F3A5F"/>
            <w:tcMar>
              <w:top w:w="80" w:type="dxa"/>
              <w:left w:w="100" w:type="dxa"/>
              <w:bottom w:w="80" w:type="dxa"/>
              <w:right w:w="100" w:type="dxa"/>
            </w:tcMar>
          </w:tcPr>
          <w:p w:rsidR="002670F6" w:rsidRDefault="00FD0FCF">
            <w:pPr>
              <w:jc w:val="center"/>
            </w:pPr>
            <w:r>
              <w:rPr>
                <w:b/>
                <w:bCs/>
                <w:color w:val="FFFFFF"/>
                <w:sz w:val="22"/>
                <w:szCs w:val="22"/>
              </w:rPr>
              <w:t>Key Assumption Changes</w:t>
            </w:r>
          </w:p>
        </w:tc>
        <w:tc>
          <w:tcPr>
            <w:tcW w:w="1000" w:type="pct"/>
            <w:shd w:val="solid" w:color="1F3A5F" w:fill="1F3A5F"/>
            <w:tcMar>
              <w:top w:w="80" w:type="dxa"/>
              <w:left w:w="100" w:type="dxa"/>
              <w:bottom w:w="80" w:type="dxa"/>
              <w:right w:w="100" w:type="dxa"/>
            </w:tcMar>
          </w:tcPr>
          <w:p w:rsidR="002670F6" w:rsidRDefault="00FD0FCF">
            <w:pPr>
              <w:jc w:val="center"/>
            </w:pPr>
            <w:r>
              <w:rPr>
                <w:b/>
                <w:bCs/>
                <w:color w:val="FFFFFF"/>
                <w:sz w:val="22"/>
                <w:szCs w:val="22"/>
              </w:rPr>
              <w:t>Resulting NPV</w:t>
            </w:r>
          </w:p>
        </w:tc>
      </w:tr>
      <w:tr w:rsidR="002670F6">
        <w:tblPrEx>
          <w:tblCellMar>
            <w:top w:w="0" w:type="dxa"/>
            <w:bottom w:w="0" w:type="dxa"/>
          </w:tblCellMar>
        </w:tblPrEx>
        <w:tc>
          <w:tcPr>
            <w:tcW w:w="900" w:type="pct"/>
            <w:tcMar>
              <w:top w:w="80" w:type="dxa"/>
              <w:left w:w="100" w:type="dxa"/>
              <w:bottom w:w="80" w:type="dxa"/>
              <w:right w:w="100" w:type="dxa"/>
            </w:tcMar>
          </w:tcPr>
          <w:p w:rsidR="002670F6" w:rsidRDefault="00FD0FCF">
            <w:r>
              <w:rPr>
                <w:color w:val="000000"/>
                <w:sz w:val="22"/>
                <w:szCs w:val="22"/>
              </w:rPr>
              <w:t>Best case</w:t>
            </w:r>
          </w:p>
        </w:tc>
        <w:tc>
          <w:tcPr>
            <w:tcW w:w="3100" w:type="pct"/>
            <w:tcMar>
              <w:top w:w="80" w:type="dxa"/>
              <w:left w:w="100" w:type="dxa"/>
              <w:bottom w:w="80" w:type="dxa"/>
              <w:right w:w="100" w:type="dxa"/>
            </w:tcMar>
          </w:tcPr>
          <w:p w:rsidR="002670F6" w:rsidRDefault="00FD0FCF">
            <w:pPr>
              <w:jc w:val="center"/>
            </w:pPr>
            <w:r>
              <w:rPr>
                <w:color w:val="000000"/>
                <w:sz w:val="22"/>
                <w:szCs w:val="22"/>
              </w:rPr>
              <w:t>Annual cash flows 15% above AI-informed base forecast; discount rate unchanged at 9%</w:t>
            </w:r>
          </w:p>
        </w:tc>
        <w:tc>
          <w:tcPr>
            <w:tcW w:w="1000" w:type="pct"/>
            <w:tcMar>
              <w:top w:w="80" w:type="dxa"/>
              <w:left w:w="100" w:type="dxa"/>
              <w:bottom w:w="80" w:type="dxa"/>
              <w:right w:w="100" w:type="dxa"/>
            </w:tcMar>
          </w:tcPr>
          <w:p w:rsidR="002670F6" w:rsidRDefault="00FD0FCF">
            <w:pPr>
              <w:jc w:val="center"/>
            </w:pPr>
            <w:r>
              <w:rPr>
                <w:color w:val="000000"/>
                <w:sz w:val="22"/>
                <w:szCs w:val="22"/>
              </w:rPr>
              <w:t>$527,363</w:t>
            </w:r>
          </w:p>
        </w:tc>
      </w:tr>
      <w:tr w:rsidR="002670F6">
        <w:tblPrEx>
          <w:tblCellMar>
            <w:top w:w="0" w:type="dxa"/>
            <w:bottom w:w="0" w:type="dxa"/>
          </w:tblCellMar>
        </w:tblPrEx>
        <w:tc>
          <w:tcPr>
            <w:tcW w:w="900" w:type="pct"/>
            <w:tcMar>
              <w:top w:w="80" w:type="dxa"/>
              <w:left w:w="100" w:type="dxa"/>
              <w:bottom w:w="80" w:type="dxa"/>
              <w:right w:w="100" w:type="dxa"/>
            </w:tcMar>
          </w:tcPr>
          <w:p w:rsidR="002670F6" w:rsidRDefault="00FD0FCF">
            <w:r>
              <w:rPr>
                <w:color w:val="000000"/>
                <w:sz w:val="22"/>
                <w:szCs w:val="22"/>
              </w:rPr>
              <w:t>Base case</w:t>
            </w:r>
          </w:p>
        </w:tc>
        <w:tc>
          <w:tcPr>
            <w:tcW w:w="3100" w:type="pct"/>
            <w:tcMar>
              <w:top w:w="80" w:type="dxa"/>
              <w:left w:w="100" w:type="dxa"/>
              <w:bottom w:w="80" w:type="dxa"/>
              <w:right w:w="100" w:type="dxa"/>
            </w:tcMar>
          </w:tcPr>
          <w:p w:rsidR="002670F6" w:rsidRDefault="00FD0FCF">
            <w:pPr>
              <w:jc w:val="center"/>
            </w:pPr>
            <w:r>
              <w:rPr>
                <w:color w:val="000000"/>
                <w:sz w:val="22"/>
                <w:szCs w:val="22"/>
              </w:rPr>
              <w:t>AI-informed forecast as constructed; discount rate 9%</w:t>
            </w:r>
          </w:p>
        </w:tc>
        <w:tc>
          <w:tcPr>
            <w:tcW w:w="1000" w:type="pct"/>
            <w:tcMar>
              <w:top w:w="80" w:type="dxa"/>
              <w:left w:w="100" w:type="dxa"/>
              <w:bottom w:w="80" w:type="dxa"/>
              <w:right w:w="100" w:type="dxa"/>
            </w:tcMar>
          </w:tcPr>
          <w:p w:rsidR="002670F6" w:rsidRDefault="00FD0FCF">
            <w:pPr>
              <w:jc w:val="center"/>
            </w:pPr>
            <w:r>
              <w:rPr>
                <w:color w:val="000000"/>
                <w:sz w:val="22"/>
                <w:szCs w:val="22"/>
              </w:rPr>
              <w:t>$302,054</w:t>
            </w:r>
          </w:p>
        </w:tc>
      </w:tr>
      <w:tr w:rsidR="002670F6">
        <w:tblPrEx>
          <w:tblCellMar>
            <w:top w:w="0" w:type="dxa"/>
            <w:bottom w:w="0" w:type="dxa"/>
          </w:tblCellMar>
        </w:tblPrEx>
        <w:tc>
          <w:tcPr>
            <w:tcW w:w="900" w:type="pct"/>
            <w:tcMar>
              <w:top w:w="80" w:type="dxa"/>
              <w:left w:w="100" w:type="dxa"/>
              <w:bottom w:w="80" w:type="dxa"/>
              <w:right w:w="100" w:type="dxa"/>
            </w:tcMar>
          </w:tcPr>
          <w:p w:rsidR="002670F6" w:rsidRDefault="00FD0FCF">
            <w:r>
              <w:rPr>
                <w:color w:val="000000"/>
                <w:sz w:val="22"/>
                <w:szCs w:val="22"/>
              </w:rPr>
              <w:t>Worst case</w:t>
            </w:r>
          </w:p>
        </w:tc>
        <w:tc>
          <w:tcPr>
            <w:tcW w:w="3100" w:type="pct"/>
            <w:tcMar>
              <w:top w:w="80" w:type="dxa"/>
              <w:left w:w="100" w:type="dxa"/>
              <w:bottom w:w="80" w:type="dxa"/>
              <w:right w:w="100" w:type="dxa"/>
            </w:tcMar>
          </w:tcPr>
          <w:p w:rsidR="002670F6" w:rsidRDefault="00FD0FCF">
            <w:pPr>
              <w:jc w:val="center"/>
            </w:pPr>
            <w:r>
              <w:rPr>
                <w:color w:val="000000"/>
                <w:sz w:val="22"/>
                <w:szCs w:val="22"/>
              </w:rPr>
              <w:t>Years 1–2 cash flows 25% below AI-informed forecast (delayed adoption); discount rate raised to 11% (higher risk premium)</w:t>
            </w:r>
          </w:p>
        </w:tc>
        <w:tc>
          <w:tcPr>
            <w:tcW w:w="1000" w:type="pct"/>
            <w:tcMar>
              <w:top w:w="80" w:type="dxa"/>
              <w:left w:w="100" w:type="dxa"/>
              <w:bottom w:w="80" w:type="dxa"/>
              <w:right w:w="100" w:type="dxa"/>
            </w:tcMar>
          </w:tcPr>
          <w:p w:rsidR="002670F6" w:rsidRDefault="00FD0FCF">
            <w:pPr>
              <w:jc w:val="center"/>
            </w:pPr>
            <w:r>
              <w:rPr>
                <w:color w:val="000000"/>
                <w:sz w:val="22"/>
                <w:szCs w:val="22"/>
              </w:rPr>
              <w:t>$78,770</w:t>
            </w:r>
          </w:p>
        </w:tc>
      </w:tr>
    </w:tbl>
    <w:p w:rsidR="002670F6" w:rsidRDefault="00FD0FCF">
      <w:pPr>
        <w:spacing w:line="480" w:lineRule="auto"/>
        <w:ind w:firstLine="720"/>
      </w:pPr>
      <w:r>
        <w:rPr>
          <w:sz w:val="24"/>
          <w:szCs w:val="24"/>
        </w:rPr>
        <w:t>Table 4. Scenario analysis, AI-informed forecast (illustrative).</w:t>
      </w:r>
    </w:p>
    <w:p w:rsidR="002670F6" w:rsidRDefault="002670F6">
      <w:pPr>
        <w:spacing w:line="480" w:lineRule="auto"/>
        <w:ind w:firstLine="720"/>
      </w:pPr>
    </w:p>
    <w:p w:rsidR="002670F6" w:rsidRDefault="00FD0FCF">
      <w:pPr>
        <w:spacing w:line="480" w:lineRule="auto"/>
        <w:ind w:firstLine="720"/>
      </w:pPr>
      <w:r>
        <w:rPr>
          <w:sz w:val="24"/>
          <w:szCs w:val="24"/>
        </w:rPr>
        <w:lastRenderedPageBreak/>
        <w:t xml:space="preserve">The scenario analysis reveals a risk profile that the base </w:t>
      </w:r>
      <w:r>
        <w:rPr>
          <w:sz w:val="24"/>
          <w:szCs w:val="24"/>
        </w:rPr>
        <w:t>case alone does not communicate. While the base and best-case scenarios both suggest a strongly attractive investment, the worst-case scenario, representing a plausible delayed-adoption outcome combined with a higher risk premium, reduces NPV to $78,770, s</w:t>
      </w:r>
      <w:r>
        <w:rPr>
          <w:sz w:val="24"/>
          <w:szCs w:val="24"/>
        </w:rPr>
        <w:t>till positive, but a margin roughly one-quarter the size of the base case. This gap between the base case and the worst case is the kind of information a single-point NPV estimate, traditional or AI-informed, cannot convey on its own, and is the specific c</w:t>
      </w:r>
      <w:r>
        <w:rPr>
          <w:sz w:val="24"/>
          <w:szCs w:val="24"/>
        </w:rPr>
        <w:t>ontribution scenario analysis makes once layered on top of an already-improved forecast.</w:t>
      </w:r>
    </w:p>
    <w:p w:rsidR="002670F6" w:rsidRDefault="00FD0FCF">
      <w:pPr>
        <w:pStyle w:val="Heading2"/>
        <w:spacing w:before="160" w:line="480" w:lineRule="auto"/>
      </w:pPr>
      <w:r>
        <w:rPr>
          <w:b/>
          <w:bCs/>
          <w:color w:val="000000"/>
          <w:sz w:val="24"/>
          <w:szCs w:val="24"/>
        </w:rPr>
        <w:t>Risk and Ethical Considerations</w:t>
      </w:r>
    </w:p>
    <w:p w:rsidR="002670F6" w:rsidRDefault="00FD0FCF">
      <w:pPr>
        <w:spacing w:line="480" w:lineRule="auto"/>
      </w:pPr>
      <w:r>
        <w:rPr>
          <w:sz w:val="24"/>
          <w:szCs w:val="24"/>
        </w:rPr>
        <w:t>Several categories of risk apply directly to this investment decision. Forecasting risk is the most immediately relevant: an AI-informe</w:t>
      </w:r>
      <w:r>
        <w:rPr>
          <w:sz w:val="24"/>
          <w:szCs w:val="24"/>
        </w:rPr>
        <w:t xml:space="preserve">d forecast is only as reliable as the data and assumptions used to train or calibrate it, and a model built on a limited historical sample could encode patterns specific to that sample rather than genuine underlying adoption dynamics, a concern consistent </w:t>
      </w:r>
      <w:r>
        <w:rPr>
          <w:sz w:val="24"/>
          <w:szCs w:val="24"/>
        </w:rPr>
        <w:t>with Kureljusic and Metz's (2023) finding that forecast accuracy improved with more detailed input data rather than with model sophistication alone. Operating and technology risk is closely related: the AI-informed forecast's ramp-shaped assumption depends</w:t>
      </w:r>
      <w:r>
        <w:rPr>
          <w:sz w:val="24"/>
          <w:szCs w:val="24"/>
        </w:rPr>
        <w:t xml:space="preserve"> on Meridian's staff and processes actually adapting to the new platform at the assumed pace, and any delay in adoption, staff turnover, or integration difficulty would shift realized cash flows toward the worst-case scenario modeled in Table 4.</w:t>
      </w:r>
    </w:p>
    <w:p w:rsidR="002670F6" w:rsidRDefault="00FD0FCF">
      <w:pPr>
        <w:spacing w:line="480" w:lineRule="auto"/>
        <w:ind w:firstLine="720"/>
      </w:pPr>
      <w:r>
        <w:rPr>
          <w:sz w:val="24"/>
          <w:szCs w:val="24"/>
        </w:rPr>
        <w:t>An ethical consideration specific to AI-informed capital budgeting is the risk of treating a model's output as an objective, unquestionable input rather than as one forecasting method among several, with its own assumptions and limitations. Decision-makers</w:t>
      </w:r>
      <w:r>
        <w:rPr>
          <w:sz w:val="24"/>
          <w:szCs w:val="24"/>
        </w:rPr>
        <w:t xml:space="preserve"> relying on an AI-informed cash flow forecast should understand, at least at a conceptual level, what data and </w:t>
      </w:r>
      <w:r>
        <w:rPr>
          <w:sz w:val="24"/>
          <w:szCs w:val="24"/>
        </w:rPr>
        <w:lastRenderedPageBreak/>
        <w:t>assumptions the forecast is built on, rather than treating the model as a black box whose output requires no further scrutiny; the sensitivity an</w:t>
      </w:r>
      <w:r>
        <w:rPr>
          <w:sz w:val="24"/>
          <w:szCs w:val="24"/>
        </w:rPr>
        <w:t>d scenario analysis presented in this paper are one practical way to maintain that scrutiny rather than relying on a single AI-generated number in isolation. A secondary, more indirect consideration in this specific case is environmental: a route optimizat</w:t>
      </w:r>
      <w:r>
        <w:rPr>
          <w:sz w:val="24"/>
          <w:szCs w:val="24"/>
        </w:rPr>
        <w:t>ion platform of the kind modeled here would plausibly reduce fuel consumption and empty-mile driving as a side effect of its core cost-saving function, a genuine but secondary ESG-relevant outcome worth noting rather than a primary driver of the investment</w:t>
      </w:r>
      <w:r>
        <w:rPr>
          <w:sz w:val="24"/>
          <w:szCs w:val="24"/>
        </w:rPr>
        <w:t xml:space="preserve"> case.</w:t>
      </w:r>
    </w:p>
    <w:p w:rsidR="002670F6" w:rsidRDefault="00FD0FCF">
      <w:pPr>
        <w:pStyle w:val="Heading2"/>
        <w:spacing w:before="160" w:line="480" w:lineRule="auto"/>
      </w:pPr>
      <w:r>
        <w:rPr>
          <w:b/>
          <w:bCs/>
          <w:color w:val="000000"/>
          <w:sz w:val="24"/>
          <w:szCs w:val="24"/>
        </w:rPr>
        <w:t>Discussion</w:t>
      </w:r>
    </w:p>
    <w:p w:rsidR="002670F6" w:rsidRDefault="00FD0FCF">
      <w:pPr>
        <w:spacing w:line="480" w:lineRule="auto"/>
      </w:pPr>
      <w:r>
        <w:rPr>
          <w:sz w:val="24"/>
          <w:szCs w:val="24"/>
        </w:rPr>
        <w:t>The findings in this paper directly address the research question posed in the Introduction. Integrating an AI-informed cash flow forecast in place of a traditional flat-line estimate materially changed the estimated value of the illustra</w:t>
      </w:r>
      <w:r>
        <w:rPr>
          <w:sz w:val="24"/>
          <w:szCs w:val="24"/>
        </w:rPr>
        <w:t>tive technology investment, raising NPV from $122,481 to $302,054 and IRR from 12.86% to 17.68%, not because the AI-informed forecast assumed larger total savings, but because it modeled a more realistic adoption curve that shifts value later in the projec</w:t>
      </w:r>
      <w:r>
        <w:rPr>
          <w:sz w:val="24"/>
          <w:szCs w:val="24"/>
        </w:rPr>
        <w:t xml:space="preserve">t's life relative to a flat assumption, and NPV's discounting mechanism is sensitive to exactly that kind of timing difference. Layering scenario analysis on top of the AI-informed forecast then surfaced a risk dimension neither forecasting approach could </w:t>
      </w:r>
      <w:r>
        <w:rPr>
          <w:sz w:val="24"/>
          <w:szCs w:val="24"/>
        </w:rPr>
        <w:t>show on its own: a worst-case outcome that remains technically value-positive but with a substantially thinner margin than the base case suggests.</w:t>
      </w:r>
    </w:p>
    <w:p w:rsidR="002670F6" w:rsidRDefault="00FD0FCF">
      <w:pPr>
        <w:spacing w:line="480" w:lineRule="auto"/>
        <w:ind w:firstLine="720"/>
      </w:pPr>
      <w:r>
        <w:rPr>
          <w:sz w:val="24"/>
          <w:szCs w:val="24"/>
        </w:rPr>
        <w:t xml:space="preserve">These findings are consistent with, and extend, the literature reviewed earlier. They support Kureljusic and </w:t>
      </w:r>
      <w:r>
        <w:rPr>
          <w:sz w:val="24"/>
          <w:szCs w:val="24"/>
        </w:rPr>
        <w:t>Metz's (2023) and Jawad and Azeez's (2026) broader claims that AI-informed forecasting can improve the quality of financial decision inputs, by showing a concrete mechanism, a more realistic cash flow shape, through which that improvement changes a standar</w:t>
      </w:r>
      <w:r>
        <w:rPr>
          <w:sz w:val="24"/>
          <w:szCs w:val="24"/>
        </w:rPr>
        <w:t xml:space="preserve">d capital budgeting output. They also clarify the relationship between AI-informed </w:t>
      </w:r>
      <w:r>
        <w:rPr>
          <w:sz w:val="24"/>
          <w:szCs w:val="24"/>
        </w:rPr>
        <w:lastRenderedPageBreak/>
        <w:t>forecasting and real options theory (Gorupec et al., 2022): rather than competing explanations for managing uncertainty, the two are complementary, since AI forecasting impr</w:t>
      </w:r>
      <w:r>
        <w:rPr>
          <w:sz w:val="24"/>
          <w:szCs w:val="24"/>
        </w:rPr>
        <w:t>oves the input quality of a given decision point while real options theory would separately value the flexibility to revisit that decision as adoption unfolds, a combination this paper's single-case scope did not attempt to model but which represents a nat</w:t>
      </w:r>
      <w:r>
        <w:rPr>
          <w:sz w:val="24"/>
          <w:szCs w:val="24"/>
        </w:rPr>
        <w:t>ural extension.</w:t>
      </w:r>
    </w:p>
    <w:p w:rsidR="002670F6" w:rsidRDefault="00FD0FCF">
      <w:pPr>
        <w:spacing w:line="480" w:lineRule="auto"/>
        <w:ind w:firstLine="720"/>
      </w:pPr>
      <w:r>
        <w:rPr>
          <w:sz w:val="24"/>
          <w:szCs w:val="24"/>
        </w:rPr>
        <w:t>This paper's illustrative case addresses the identified research gap in a narrow but concrete way: it demonstrates one replicable structure, comparing a flat versus an adoption-curve cash flow forecast, then applying sensitivity and scenari</w:t>
      </w:r>
      <w:r>
        <w:rPr>
          <w:sz w:val="24"/>
          <w:szCs w:val="24"/>
        </w:rPr>
        <w:t>o analysis to the more realistic forecast, that a practitioner could adapt to their own technology investment decision without requiring an in-house AI forecasting model of their own, so long as they have some basis (vendor benchmarks, comparable prior rol</w:t>
      </w:r>
      <w:r>
        <w:rPr>
          <w:sz w:val="24"/>
          <w:szCs w:val="24"/>
        </w:rPr>
        <w:t>louts, or industry adoption data) for constructing a non-flat cash flow assumption in the first place.</w:t>
      </w:r>
    </w:p>
    <w:p w:rsidR="002670F6" w:rsidRDefault="00FD0FCF">
      <w:pPr>
        <w:pStyle w:val="Heading2"/>
        <w:spacing w:before="160" w:line="480" w:lineRule="auto"/>
      </w:pPr>
      <w:r>
        <w:rPr>
          <w:b/>
          <w:bCs/>
          <w:color w:val="000000"/>
          <w:sz w:val="24"/>
          <w:szCs w:val="24"/>
        </w:rPr>
        <w:t>Conclusion</w:t>
      </w:r>
    </w:p>
    <w:p w:rsidR="002670F6" w:rsidRDefault="00FD0FCF" w:rsidP="008C6EEB">
      <w:pPr>
        <w:spacing w:line="480" w:lineRule="auto"/>
        <w:ind w:firstLine="720"/>
      </w:pPr>
      <w:bookmarkStart w:id="0" w:name="_GoBack"/>
      <w:bookmarkEnd w:id="0"/>
      <w:r>
        <w:rPr>
          <w:sz w:val="24"/>
          <w:szCs w:val="24"/>
        </w:rPr>
        <w:t>This paper asked to what extent integrating AI-driven cash flow forecasting with scenario analysis changes the estimated value and risk profil</w:t>
      </w:r>
      <w:r>
        <w:rPr>
          <w:sz w:val="24"/>
          <w:szCs w:val="24"/>
        </w:rPr>
        <w:t xml:space="preserve">e of a technology investment decision relative to a traditional static NPV approach. Using an illustrative case built around a fictitious logistics company's investment in an AI-driven demand forecasting and route optimization platform, the analysis found </w:t>
      </w:r>
      <w:r>
        <w:rPr>
          <w:sz w:val="24"/>
          <w:szCs w:val="24"/>
        </w:rPr>
        <w:t>that an AI-informed, adoption-curve-shaped cash flow forecast produced a meaningfully higher NPV and IRR and a shorter payback period than a traditional flat-line forecast, and that layering sensitivity and scenario analysis on top of that improved forecas</w:t>
      </w:r>
      <w:r>
        <w:rPr>
          <w:sz w:val="24"/>
          <w:szCs w:val="24"/>
        </w:rPr>
        <w:t>t revealed a risk profile, a thin but still positive worst-case margin, that neither forecasting approach alone would have surfaced.</w:t>
      </w:r>
    </w:p>
    <w:p w:rsidR="002670F6" w:rsidRDefault="00FD0FCF">
      <w:pPr>
        <w:spacing w:line="480" w:lineRule="auto"/>
        <w:ind w:firstLine="720"/>
      </w:pPr>
      <w:r>
        <w:rPr>
          <w:sz w:val="24"/>
          <w:szCs w:val="24"/>
        </w:rPr>
        <w:lastRenderedPageBreak/>
        <w:t>The practical implication for capital budgeting practitioners is that the choice of cash flow shape, not just cash flow tot</w:t>
      </w:r>
      <w:r>
        <w:rPr>
          <w:sz w:val="24"/>
          <w:szCs w:val="24"/>
        </w:rPr>
        <w:t>al, deserves explicit attention when evaluating technology investments whose benefits plausibly ramp up over an adoption period, and that combining an improved forecast with structured scenario analysis, rather than either technique alone, provides a fulle</w:t>
      </w:r>
      <w:r>
        <w:rPr>
          <w:sz w:val="24"/>
          <w:szCs w:val="24"/>
        </w:rPr>
        <w:t>r picture of both a project's expected value and its downside risk.</w:t>
      </w:r>
    </w:p>
    <w:p w:rsidR="002670F6" w:rsidRDefault="00FD0FCF">
      <w:pPr>
        <w:spacing w:line="480" w:lineRule="auto"/>
        <w:ind w:firstLine="720"/>
      </w:pPr>
      <w:r>
        <w:rPr>
          <w:sz w:val="24"/>
          <w:szCs w:val="24"/>
        </w:rPr>
        <w:t>This paper's limitations should temper how far these findings generalize. The analysis relies on a single illustrative case with fabricated, non-empirical financial data, rather than a rea</w:t>
      </w:r>
      <w:r>
        <w:rPr>
          <w:sz w:val="24"/>
          <w:szCs w:val="24"/>
        </w:rPr>
        <w:t xml:space="preserve">l company's actual results, and was designed to isolate the effect of forecast shape under controlled, simplified assumptions rather than to produce a statistically generalizable finding. No tax effects, depreciation, or terminal value were modeled, and a </w:t>
      </w:r>
      <w:r>
        <w:rPr>
          <w:sz w:val="24"/>
          <w:szCs w:val="24"/>
        </w:rPr>
        <w:t>single uniform discount rate was applied rather than a risk-adjusted rate specific to the technology investment category. Future research could address these limitations directly, applying this same comparative structure to real, empirically observed techn</w:t>
      </w:r>
      <w:r>
        <w:rPr>
          <w:sz w:val="24"/>
          <w:szCs w:val="24"/>
        </w:rPr>
        <w:t>ology investment cash flows across multiple firms, and could extend the analysis by formally integrating real options valuation alongside AI-informed forecasting, combining improved point estimates with explicit modeling of the decision flexibility both li</w:t>
      </w:r>
      <w:r>
        <w:rPr>
          <w:sz w:val="24"/>
          <w:szCs w:val="24"/>
        </w:rPr>
        <w:t>teratures suggest matters for investment decisions made under genuine uncertainty.</w:t>
      </w:r>
    </w:p>
    <w:p w:rsidR="002670F6" w:rsidRDefault="00FD0FCF">
      <w:pPr>
        <w:pStyle w:val="Heading1"/>
        <w:spacing w:before="240" w:line="480" w:lineRule="auto"/>
        <w:jc w:val="center"/>
      </w:pPr>
      <w:r>
        <w:rPr>
          <w:b/>
          <w:bCs/>
          <w:color w:val="000000"/>
          <w:sz w:val="24"/>
          <w:szCs w:val="24"/>
        </w:rPr>
        <w:t>References</w:t>
      </w:r>
    </w:p>
    <w:p w:rsidR="002670F6" w:rsidRDefault="00FD0FCF">
      <w:pPr>
        <w:spacing w:line="480" w:lineRule="auto"/>
        <w:ind w:left="720" w:hanging="720"/>
      </w:pPr>
      <w:r>
        <w:rPr>
          <w:sz w:val="24"/>
          <w:szCs w:val="24"/>
        </w:rPr>
        <w:t>Brealey, R. A., Myers, S. C., Allen, F., &amp; Edmans, A. (2023). Principles of corporate finance (14th ed.). McGraw-Hill Education.</w:t>
      </w:r>
    </w:p>
    <w:p w:rsidR="002670F6" w:rsidRDefault="00FD0FCF">
      <w:pPr>
        <w:spacing w:line="480" w:lineRule="auto"/>
        <w:ind w:left="720" w:hanging="720"/>
      </w:pPr>
      <w:r>
        <w:rPr>
          <w:sz w:val="24"/>
          <w:szCs w:val="24"/>
        </w:rPr>
        <w:t>Gorupec, N., Brehmer, N., Tiberiu</w:t>
      </w:r>
      <w:r>
        <w:rPr>
          <w:sz w:val="24"/>
          <w:szCs w:val="24"/>
        </w:rPr>
        <w:t>s, V., &amp; Kraus, S. (2022). Tackling uncertain future scenarios with real options: A review and research framework. Irish Journal of Management, 41(1), 69–88. https://doi.org/10.2478/ijm-2022-0003</w:t>
      </w:r>
    </w:p>
    <w:p w:rsidR="002670F6" w:rsidRDefault="00FD0FCF">
      <w:pPr>
        <w:spacing w:line="480" w:lineRule="auto"/>
        <w:ind w:left="720" w:hanging="720"/>
      </w:pPr>
      <w:r>
        <w:rPr>
          <w:sz w:val="24"/>
          <w:szCs w:val="24"/>
        </w:rPr>
        <w:lastRenderedPageBreak/>
        <w:t>Jawad, N. A.-H. K., &amp; Azeez, R. T. (2026). The impact of usi</w:t>
      </w:r>
      <w:r>
        <w:rPr>
          <w:sz w:val="24"/>
          <w:szCs w:val="24"/>
        </w:rPr>
        <w:t>ng artificial intelligence on investment decisions. Al-Ghary Journal of Economic and Administrative Sciences, 22(1), 834–861. https://doi.org/10.36325/ghjec.v22i1.22068</w:t>
      </w:r>
    </w:p>
    <w:p w:rsidR="002670F6" w:rsidRDefault="00FD0FCF">
      <w:pPr>
        <w:spacing w:line="480" w:lineRule="auto"/>
        <w:ind w:left="720" w:hanging="720"/>
      </w:pPr>
      <w:r>
        <w:rPr>
          <w:sz w:val="24"/>
          <w:szCs w:val="24"/>
        </w:rPr>
        <w:t xml:space="preserve">Kureljusic, M., &amp; Metz, J. (2023). The applicability of machine learning algorithms in </w:t>
      </w:r>
      <w:r>
        <w:rPr>
          <w:sz w:val="24"/>
          <w:szCs w:val="24"/>
        </w:rPr>
        <w:t>accounts receivables management. Journal of Applied Accounting Research, 24(2), 291–316. https://doi.org/10.1108/JAAR-05-2022-0116</w:t>
      </w:r>
    </w:p>
    <w:p w:rsidR="002670F6" w:rsidRDefault="00FD0FCF">
      <w:pPr>
        <w:spacing w:line="480" w:lineRule="auto"/>
        <w:ind w:left="720" w:hanging="720"/>
      </w:pPr>
      <w:r>
        <w:rPr>
          <w:sz w:val="24"/>
          <w:szCs w:val="24"/>
        </w:rPr>
        <w:t>Mota, J., &amp; Moreira, A. C. (2023). Capital budgeting practices: A survey of two industries. Journal of Risk and Financial Man</w:t>
      </w:r>
      <w:r>
        <w:rPr>
          <w:sz w:val="24"/>
          <w:szCs w:val="24"/>
        </w:rPr>
        <w:t>agement, 16(3), 191. https://doi.org/10.3390/jrfm16030191</w:t>
      </w:r>
    </w:p>
    <w:sectPr w:rsidR="002670F6">
      <w:headerReference w:type="default" r:id="rId13"/>
      <w:footerReference w:type="default" r:id="rId14"/>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0FCF" w:rsidRDefault="00FD0FCF">
      <w:r>
        <w:separator/>
      </w:r>
    </w:p>
  </w:endnote>
  <w:endnote w:type="continuationSeparator" w:id="0">
    <w:p w:rsidR="00FD0FCF" w:rsidRDefault="00FD0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0F6" w:rsidRDefault="00FD0FCF">
    <w:pPr>
      <w:jc w:val="center"/>
    </w:pPr>
    <w:r>
      <w:rPr>
        <w:i/>
        <w:iCs/>
        <w:color w:val="595959"/>
        <w:sz w:val="16"/>
        <w:szCs w:val="16"/>
      </w:rPr>
      <w:t xml:space="preserve">MODEL EXAMPLE — FOR LEARNING AND STRUCTURAL GUIDANCE ONLY. Not an official BUS 960 answer key; do not submit unchanged. Fictitious company and illustrative data throughout. Need help with </w:t>
    </w:r>
    <w:r>
      <w:rPr>
        <w:i/>
        <w:iCs/>
        <w:color w:val="595959"/>
        <w:sz w:val="16"/>
        <w:szCs w:val="16"/>
      </w:rPr>
      <w:t>your own BUS 960 project? Gradevia — WhatsApp: +1 (564) 544-6924.</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0F6" w:rsidRDefault="00FD0FCF">
    <w:pPr>
      <w:jc w:val="center"/>
    </w:pPr>
    <w:r>
      <w:rPr>
        <w:i/>
        <w:iCs/>
        <w:color w:val="595959"/>
        <w:sz w:val="16"/>
        <w:szCs w:val="16"/>
      </w:rPr>
      <w:t>MODEL EXAMPLE — FOR LEARNING AND STRUCTURAL GUIDANCE ONLY. Not an official BUS 960 answer key; do not submit unchanged. Fictitious company and illustrative data throughout. Need help with yo</w:t>
    </w:r>
    <w:r>
      <w:rPr>
        <w:i/>
        <w:iCs/>
        <w:color w:val="595959"/>
        <w:sz w:val="16"/>
        <w:szCs w:val="16"/>
      </w:rPr>
      <w:t>ur own BUS 960 project? Gradevia — WhatsApp: +1 (564) 544-6924.</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0F6" w:rsidRDefault="00FD0FCF">
    <w:pPr>
      <w:jc w:val="center"/>
    </w:pPr>
    <w:r>
      <w:rPr>
        <w:i/>
        <w:iCs/>
        <w:color w:val="595959"/>
        <w:sz w:val="16"/>
        <w:szCs w:val="16"/>
      </w:rPr>
      <w:t>MODEL EXAMPLE — FOR LEARNING AND STRUCTURAL GUIDANCE ONLY. Not an official BUS 960 answer key; do not submit unchanged. Fictitious company and illustrative data throughout. Need help with your own BUS 960 project? Gradevia — WhatsApp: +1 (564) 544-6924.</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0F6" w:rsidRDefault="00FD0FCF">
    <w:pPr>
      <w:jc w:val="center"/>
    </w:pPr>
    <w:r>
      <w:rPr>
        <w:i/>
        <w:iCs/>
        <w:color w:val="595959"/>
        <w:sz w:val="16"/>
        <w:szCs w:val="16"/>
      </w:rPr>
      <w:t>MODEL EXAMPLE — FOR LEARNING AND STRUCTURAL GUIDANCE ONLY. Not an official BUS 960 answer key; do not submit unchanged. Fictitious company and illustrative data throughout. Need help with your own BUS 960 project? Gradevia — WhatsApp: +1 (564) 544-6924.</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0FCF" w:rsidRDefault="00FD0FCF">
      <w:r>
        <w:separator/>
      </w:r>
    </w:p>
  </w:footnote>
  <w:footnote w:type="continuationSeparator" w:id="0">
    <w:p w:rsidR="00FD0FCF" w:rsidRDefault="00FD0F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0F6" w:rsidRDefault="00FD0FCF">
    <w:pPr>
      <w:tabs>
        <w:tab w:val="right" w:pos="9026"/>
      </w:tabs>
    </w:pPr>
    <w:r>
      <w:t>AI-INFORMED CAPITAL BUDGETING UNDER UNCERTAINTY</w:t>
    </w:r>
    <w:r>
      <w:rPr>
        <w:sz w:val="24"/>
        <w:szCs w:val="24"/>
      </w:rPr>
      <w:tab/>
    </w:r>
    <w:r>
      <w:rPr>
        <w:sz w:val="24"/>
        <w:szCs w:val="24"/>
      </w:rPr>
      <w:fldChar w:fldCharType="begin"/>
    </w:r>
    <w:r>
      <w:rPr>
        <w:sz w:val="24"/>
        <w:szCs w:val="24"/>
      </w:rPr>
      <w:instrText>PAGE</w:instrText>
    </w:r>
    <w:r>
      <w:rPr>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0F6" w:rsidRDefault="00FD0FCF">
    <w:pPr>
      <w:tabs>
        <w:tab w:val="right" w:pos="9026"/>
      </w:tabs>
    </w:pPr>
    <w:r>
      <w:t>R</w:t>
    </w:r>
    <w:r>
      <w:t>unning head: AI-INFORMED CAPITAL BUDGETING UNDER UNCERTAINTY</w:t>
    </w:r>
    <w:r>
      <w:rPr>
        <w:sz w:val="24"/>
        <w:szCs w:val="24"/>
      </w:rPr>
      <w:tab/>
    </w:r>
    <w:r>
      <w:rPr>
        <w:sz w:val="24"/>
        <w:szCs w:val="24"/>
      </w:rPr>
      <w:fldChar w:fldCharType="begin"/>
    </w:r>
    <w:r>
      <w:rPr>
        <w:sz w:val="24"/>
        <w:szCs w:val="24"/>
      </w:rPr>
      <w:instrText>PAGE</w:instrText>
    </w:r>
    <w:r w:rsidR="008C6EEB">
      <w:rPr>
        <w:sz w:val="24"/>
        <w:szCs w:val="24"/>
      </w:rPr>
      <w:fldChar w:fldCharType="separate"/>
    </w:r>
    <w:r w:rsidR="008C6EEB">
      <w:rPr>
        <w:noProof/>
        <w:sz w:val="24"/>
        <w:szCs w:val="24"/>
      </w:rPr>
      <w:t>1</w:t>
    </w:r>
    <w:r>
      <w:rPr>
        <w:sz w:val="24"/>
        <w:szCs w:val="24"/>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0F6" w:rsidRDefault="00FD0FCF">
    <w:pPr>
      <w:tabs>
        <w:tab w:val="right" w:pos="9026"/>
      </w:tabs>
    </w:pPr>
    <w:r>
      <w:t>AI-INFORMED CAPITAL BUDGETING UNDER UNCERTAINTY</w:t>
    </w:r>
    <w:r>
      <w:rPr>
        <w:sz w:val="24"/>
        <w:szCs w:val="24"/>
      </w:rPr>
      <w:tab/>
    </w:r>
    <w:r>
      <w:rPr>
        <w:sz w:val="24"/>
        <w:szCs w:val="24"/>
      </w:rPr>
      <w:fldChar w:fldCharType="begin"/>
    </w:r>
    <w:r>
      <w:rPr>
        <w:sz w:val="24"/>
        <w:szCs w:val="24"/>
      </w:rPr>
      <w:instrText>PAGE</w:instrText>
    </w:r>
    <w:r w:rsidR="008C6EEB">
      <w:rPr>
        <w:sz w:val="24"/>
        <w:szCs w:val="24"/>
      </w:rPr>
      <w:fldChar w:fldCharType="separate"/>
    </w:r>
    <w:r w:rsidR="008C6EEB">
      <w:rPr>
        <w:noProof/>
        <w:sz w:val="24"/>
        <w:szCs w:val="24"/>
      </w:rPr>
      <w:t>2</w:t>
    </w:r>
    <w:r>
      <w:rPr>
        <w:sz w:val="24"/>
        <w:szCs w:val="24"/>
      </w:rPr>
      <w:fldChar w:fldCharType="end"/>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0F6" w:rsidRDefault="00FD0FCF">
    <w:pPr>
      <w:tabs>
        <w:tab w:val="right" w:pos="9026"/>
      </w:tabs>
    </w:pPr>
    <w:r>
      <w:t>AI-INFORMED CAPITAL BUDGETING UNDER UNCERTAINTY</w:t>
    </w:r>
    <w:r>
      <w:rPr>
        <w:sz w:val="24"/>
        <w:szCs w:val="24"/>
      </w:rPr>
      <w:tab/>
    </w:r>
    <w:r>
      <w:rPr>
        <w:sz w:val="24"/>
        <w:szCs w:val="24"/>
      </w:rPr>
      <w:fldChar w:fldCharType="begin"/>
    </w:r>
    <w:r>
      <w:rPr>
        <w:sz w:val="24"/>
        <w:szCs w:val="24"/>
      </w:rPr>
      <w:instrText>PAGE</w:instrText>
    </w:r>
    <w:r w:rsidR="008C6EEB">
      <w:rPr>
        <w:sz w:val="24"/>
        <w:szCs w:val="24"/>
      </w:rPr>
      <w:fldChar w:fldCharType="separate"/>
    </w:r>
    <w:r w:rsidR="008C6EEB">
      <w:rPr>
        <w:noProof/>
        <w:sz w:val="24"/>
        <w:szCs w:val="24"/>
      </w:rPr>
      <w:t>10</w:t>
    </w:r>
    <w:r>
      <w:rPr>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DF2C60"/>
    <w:multiLevelType w:val="hybridMultilevel"/>
    <w:tmpl w:val="17289C26"/>
    <w:lvl w:ilvl="0" w:tplc="E5188F0A">
      <w:start w:val="1"/>
      <w:numFmt w:val="bullet"/>
      <w:lvlText w:val="●"/>
      <w:lvlJc w:val="left"/>
      <w:pPr>
        <w:ind w:left="720" w:hanging="360"/>
      </w:pPr>
    </w:lvl>
    <w:lvl w:ilvl="1" w:tplc="FCF037AC">
      <w:start w:val="1"/>
      <w:numFmt w:val="bullet"/>
      <w:lvlText w:val="○"/>
      <w:lvlJc w:val="left"/>
      <w:pPr>
        <w:ind w:left="1440" w:hanging="360"/>
      </w:pPr>
    </w:lvl>
    <w:lvl w:ilvl="2" w:tplc="43B4DADC">
      <w:start w:val="1"/>
      <w:numFmt w:val="bullet"/>
      <w:lvlText w:val="■"/>
      <w:lvlJc w:val="left"/>
      <w:pPr>
        <w:ind w:left="2160" w:hanging="360"/>
      </w:pPr>
    </w:lvl>
    <w:lvl w:ilvl="3" w:tplc="ED5EDAFC">
      <w:start w:val="1"/>
      <w:numFmt w:val="bullet"/>
      <w:lvlText w:val="●"/>
      <w:lvlJc w:val="left"/>
      <w:pPr>
        <w:ind w:left="2880" w:hanging="360"/>
      </w:pPr>
    </w:lvl>
    <w:lvl w:ilvl="4" w:tplc="9F4810EE">
      <w:start w:val="1"/>
      <w:numFmt w:val="bullet"/>
      <w:lvlText w:val="○"/>
      <w:lvlJc w:val="left"/>
      <w:pPr>
        <w:ind w:left="3600" w:hanging="360"/>
      </w:pPr>
    </w:lvl>
    <w:lvl w:ilvl="5" w:tplc="E320E296">
      <w:start w:val="1"/>
      <w:numFmt w:val="bullet"/>
      <w:lvlText w:val="■"/>
      <w:lvlJc w:val="left"/>
      <w:pPr>
        <w:ind w:left="4320" w:hanging="360"/>
      </w:pPr>
    </w:lvl>
    <w:lvl w:ilvl="6" w:tplc="149CEB00">
      <w:start w:val="1"/>
      <w:numFmt w:val="bullet"/>
      <w:lvlText w:val="●"/>
      <w:lvlJc w:val="left"/>
      <w:pPr>
        <w:ind w:left="5040" w:hanging="360"/>
      </w:pPr>
    </w:lvl>
    <w:lvl w:ilvl="7" w:tplc="EEBC34C8">
      <w:start w:val="1"/>
      <w:numFmt w:val="bullet"/>
      <w:lvlText w:val="●"/>
      <w:lvlJc w:val="left"/>
      <w:pPr>
        <w:ind w:left="5760" w:hanging="360"/>
      </w:pPr>
    </w:lvl>
    <w:lvl w:ilvl="8" w:tplc="2B00E26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0F6"/>
    <w:rsid w:val="002670F6"/>
    <w:rsid w:val="008C6EEB"/>
    <w:rsid w:val="00FD0F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3A0D6"/>
  <w15:docId w15:val="{3F54A5BD-DD7D-4B26-8965-ACF0ADC88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3749</Words>
  <Characters>21375</Characters>
  <Application>Microsoft Office Word</Application>
  <DocSecurity>0</DocSecurity>
  <Lines>178</Lines>
  <Paragraphs>50</Paragraphs>
  <ScaleCrop>false</ScaleCrop>
  <Company>HP</Company>
  <LinksUpToDate>false</LinksUpToDate>
  <CharactersWithSpaces>25074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HP SPECTRE</cp:lastModifiedBy>
  <cp:revision>2</cp:revision>
  <dcterms:created xsi:type="dcterms:W3CDTF">2026-09-21T12:33:00Z</dcterms:created>
  <dcterms:modified xsi:type="dcterms:W3CDTF">2026-09-21T13:14:00Z</dcterms:modified>
</cp:coreProperties>
</file>