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pPr>
    </w:p>
    <w:p>
      <w:pPr>
        <w:spacing w:after="0" w:before="0" w:line="480"/>
      </w:pPr>
    </w:p>
    <w:p>
      <w:pPr>
        <w:spacing w:after="0" w:before="0" w:line="480"/>
      </w:pPr>
    </w:p>
    <w:p>
      <w:pPr>
        <w:spacing w:after="0" w:before="0" w:line="480"/>
        <w:jc w:val="center"/>
      </w:pPr>
      <w:commentRangeStart w:id="0"/>
      <w:r>
        <w:rPr>
          <w:b/>
          <w:bCs/>
        </w:rPr>
        <w:t xml:space="preserve">Change Strategy for Tallgrass Comfort Services</w:t>
      </w:r>
      <w:commentRangeEnd w:id="0"/>
      <w:r>
        <w:commentReference w:id="0"/>
      </w:r>
    </w:p>
    <w:p>
      <w:pPr>
        <w:spacing w:after="0" w:before="0" w:line="480"/>
      </w:pPr>
    </w:p>
    <w:p>
      <w:pPr>
        <w:spacing w:after="0" w:before="0" w:line="480"/>
        <w:jc w:val="center"/>
      </w:pPr>
      <w:r>
        <w:rPr>
          <w:b w:val="false"/>
          <w:bCs w:val="false"/>
        </w:rPr>
        <w:t xml:space="preserve">Jordan A. Reyes</w:t>
      </w:r>
    </w:p>
    <w:p>
      <w:pPr>
        <w:spacing w:after="0" w:before="0" w:line="480"/>
        <w:jc w:val="center"/>
      </w:pPr>
      <w:r>
        <w:rPr>
          <w:b w:val="false"/>
          <w:bCs w:val="false"/>
        </w:rPr>
        <w:t xml:space="preserve">College of Business, Western Governors University</w:t>
      </w:r>
    </w:p>
    <w:p>
      <w:pPr>
        <w:spacing w:after="0" w:before="0" w:line="480"/>
        <w:jc w:val="center"/>
      </w:pPr>
      <w:r>
        <w:rPr>
          <w:b w:val="false"/>
          <w:bCs w:val="false"/>
        </w:rPr>
        <w:t xml:space="preserve">C208: Change Management and Innovation</w:t>
      </w:r>
    </w:p>
    <w:p>
      <w:pPr>
        <w:spacing w:after="0" w:before="0" w:line="480"/>
        <w:jc w:val="center"/>
      </w:pPr>
      <w:r>
        <w:rPr>
          <w:b w:val="false"/>
          <w:bCs w:val="false"/>
        </w:rPr>
        <w:t xml:space="preserve">Task 1 (JHM2): Change Strategy</w:t>
      </w:r>
    </w:p>
    <w:p>
      <w:pPr>
        <w:spacing w:after="0" w:before="0" w:line="480"/>
        <w:jc w:val="center"/>
      </w:pPr>
      <w:r>
        <w:rPr>
          <w:b w:val="false"/>
          <w:bCs w:val="false"/>
        </w:rPr>
        <w:t xml:space="preserve">September 25, 2026</w:t>
      </w:r>
    </w:p>
    <w:p>
      <w:pPr>
        <w:spacing w:after="0" w:before="0" w:line="480"/>
      </w:pPr>
    </w:p>
    <w:p>
      <w:pPr>
        <w:spacing w:after="0" w:before="0" w:line="480"/>
      </w:pPr>
    </w:p>
    <w:p>
      <w:pPr>
        <w:pBdr>
          <w:top w:val="single" w:color="1F3A5F" w:sz="6" w:space="6"/>
          <w:bottom w:val="single" w:color="1F3A5F" w:sz="6" w:space="6"/>
          <w:left w:val="single" w:color="1F3A5F" w:sz="6" w:space="6"/>
          <w:right w:val="single" w:color="1F3A5F" w:sz="6" w:space="6"/>
        </w:pBdr>
        <w:spacing w:after="120" w:before="0" w:line="276"/>
        <w:jc w:val="center"/>
      </w:pPr>
      <w:r>
        <w:rPr>
          <w:b/>
          <w:bCs/>
        </w:rPr>
        <w:t xml:space="preserve">Note: </w:t>
      </w:r>
      <w:r>
        <w:rPr>
          <w:i/>
          <w:iCs/>
        </w:rPr>
        <w:t xml:space="preserve">This report is an example for illustration purposes only. Tallgrass Comfort Services and all people, figures, and events in it are fictitious. Do not submit this report or any part of it as your own work. If you need assistance with your C208 Task 1, contact Gradevia on WhatsApp at </w:t>
      </w:r>
      <w:r>
        <w:rPr>
          <w:b/>
          <w:bCs/>
          <w:i/>
          <w:iCs/>
        </w:rPr>
        <w:t xml:space="preserve">+1 564 544 6924</w:t>
      </w:r>
      <w:r>
        <w:rPr>
          <w:i/>
          <w:iCs/>
        </w:rPr>
        <w:t xml:space="preserve">.</w:t>
      </w:r>
    </w:p>
    <w:p>
      <w:r>
        <w:br w:type="page"/>
      </w:r>
    </w:p>
    <w:p>
      <w:pPr>
        <w:spacing w:after="0" w:before="0" w:line="480"/>
        <w:jc w:val="center"/>
      </w:pPr>
      <w:r>
        <w:rPr>
          <w:b/>
          <w:bCs/>
        </w:rPr>
        <w:t xml:space="preserve">Change Strategy for Tallgrass Comfort Services</w:t>
      </w:r>
    </w:p>
    <w:p>
      <w:pPr>
        <w:spacing w:after="0" w:before="0" w:line="480"/>
        <w:ind w:firstLine="720"/>
      </w:pPr>
      <w:r>
        <w:t xml:space="preserve">Tallgrass Comfort Services is a residential heating, cooling, and plumbing company that operates four branches across a Midwestern metropolitan area and employs about 230 people, roughly 140 of whom are field technicians. The company has grown steadily for more than two decades on its reputation for honest pricing, but that growth has outpaced the systems and leadership practices that once made it successful. This report analyzes the current state of the organization, identifies two fundamental problems, and proposes a change strategy that the leadership team can implement over the next 18 months.</w:t>
      </w:r>
    </w:p>
    <w:p>
      <w:pPr>
        <w:pStyle w:val="Heading1"/>
        <w:spacing w:after="0" w:before="0" w:line="480"/>
        <w:jc w:val="center"/>
      </w:pPr>
      <w:r>
        <w:t xml:space="preserve">Current State Analysis</w:t>
      </w:r>
    </w:p>
    <w:p>
      <w:pPr>
        <w:pStyle w:val="Heading2"/>
        <w:spacing w:after="0" w:before="0" w:line="480"/>
      </w:pPr>
      <w:commentRangeStart w:id="1"/>
      <w:r>
        <w:t xml:space="preserve">Mission Statement</w:t>
      </w:r>
      <w:commentRangeEnd w:id="1"/>
      <w:r>
        <w:commentReference w:id="1"/>
      </w:r>
    </w:p>
    <w:p>
      <w:pPr>
        <w:spacing w:after="0" w:before="0" w:line="480"/>
        <w:ind w:firstLine="720"/>
      </w:pPr>
      <w:r>
        <w:t xml:space="preserve">The mission of Tallgrass Comfort Services is "to keep every home we serve safe and comfortable, with work done right the first time and a price explained before we start." In practice, the mission commits the company to three promises: safety in every installation and repair, first visit resolution whenever possible, and transparent pricing before any work begins. Customer service representatives are trained to repeat the pricing promise on every booking call, and technicians carry printed price guides so they can quote a job at the door.</w:t>
      </w:r>
    </w:p>
    <w:p>
      <w:pPr>
        <w:pStyle w:val="Heading2"/>
        <w:spacing w:after="0" w:before="0" w:line="480"/>
      </w:pPr>
      <w:commentRangeStart w:id="2"/>
      <w:r>
        <w:t xml:space="preserve">Goals for the Next Three Years</w:t>
      </w:r>
      <w:commentRangeEnd w:id="2"/>
      <w:r>
        <w:commentReference w:id="2"/>
      </w:r>
    </w:p>
    <w:p>
      <w:pPr>
        <w:spacing w:after="0" w:before="0" w:line="480"/>
        <w:ind w:firstLine="720"/>
      </w:pPr>
      <w:r>
        <w:t xml:space="preserve">The leadership team has set three goals for the next three years. The first is to raise the share of service calls resolved on the first visit, since repeat visits cost the company labor and erode the second promise in its mission. The second is to reduce voluntary technician turnover, because every experienced technician who leaves takes years of training with them. The third is to open a fifth branch in a growing suburb on the south side of the metro area by the end of year three, supported by a larger base of customers enrolled in annual maintenance plans.</w:t>
      </w:r>
    </w:p>
    <w:p>
      <w:pPr>
        <w:pStyle w:val="Heading2"/>
        <w:spacing w:after="0" w:before="0" w:line="480"/>
      </w:pPr>
      <w:commentRangeStart w:id="3"/>
      <w:r>
        <w:t xml:space="preserve">Key Internal and External Stakeholders</w:t>
      </w:r>
      <w:commentRangeEnd w:id="3"/>
      <w:r>
        <w:commentReference w:id="3"/>
      </w:r>
    </w:p>
    <w:p>
      <w:pPr>
        <w:spacing w:after="0" w:before="0" w:line="480"/>
        <w:ind w:firstLine="720"/>
      </w:pPr>
      <w:r>
        <w:t xml:space="preserve">Internal stakeholders include the founder and chief executive officer, who owns the company and approves major decisions; the four branch managers; the field technicians, who are the largest employee group; the dispatchers and customer service representatives, who schedule and route calls; and the office staff in billing and human resources. External stakeholders include homeowners, who are the company's customers; equipment manufacturers and parts suppliers; home warranty partners, which send referral work; local trade schools, which supply apprentice technicians; and the municipal permitting offices that inspect installations.</w:t>
      </w:r>
    </w:p>
    <w:p>
      <w:pPr>
        <w:pStyle w:val="Heading2"/>
        <w:spacing w:after="0" w:before="0" w:line="480"/>
      </w:pPr>
      <w:commentRangeStart w:id="4"/>
      <w:r>
        <w:t xml:space="preserve">Current Leadership</w:t>
      </w:r>
      <w:commentRangeEnd w:id="4"/>
      <w:r>
        <w:commentReference w:id="4"/>
      </w:r>
    </w:p>
    <w:p>
      <w:pPr>
        <w:spacing w:after="0" w:before="0" w:line="480"/>
        <w:ind w:firstLine="720"/>
      </w:pPr>
      <w:r>
        <w:t xml:space="preserve">Tallgrass operates under a centralized, founder led structure. All four branch managers report directly to the chief executive officer, and decisions about pricing exceptions, hiring, overtime, and equipment purchases above a modest threshold require approval from headquarters. Branch managers describe their role as coordinating work rather than leading it.</w:t>
      </w:r>
    </w:p>
    <w:p>
      <w:pPr>
        <w:spacing w:after="0" w:before="0" w:line="480"/>
        <w:ind w:firstLine="720"/>
      </w:pPr>
      <w:r>
        <w:t xml:space="preserve">Company policies are documented in a paper employee handbook last revised several years ago. The handbook sets pay by years of service rather than by skill, and it contains no written promotion criteria for technicians. Day to day procedures vary by branch. Customer calls are booked by representatives at headquarters, then passed to branch dispatchers, who assign technicians on whiteboards and confirm routes by phone. Organizational systems are fragmented: bookings live in one scheduling application, customer history lives in a separate spreadsheet, parts inventory is tracked on paper at each branch, and invoices are handwritten in the field and typed into the accounting system later.</w:t>
      </w:r>
    </w:p>
    <w:p>
      <w:pPr>
        <w:pStyle w:val="Heading2"/>
        <w:spacing w:after="0" w:before="0" w:line="480"/>
      </w:pPr>
      <w:commentRangeStart w:id="5"/>
      <w:r>
        <w:t xml:space="preserve">Fundamental Problems</w:t>
      </w:r>
      <w:commentRangeEnd w:id="5"/>
      <w:r>
        <w:commentReference w:id="5"/>
      </w:r>
    </w:p>
    <w:p>
      <w:pPr>
        <w:spacing w:after="0" w:before="0" w:line="480"/>
        <w:ind w:firstLine="720"/>
      </w:pPr>
      <w:r>
        <w:t xml:space="preserve">The first fundamental problem is a disconnected work management system. The symptoms appear every week: technicians arrive without the customer's equipment history, parts needed for a repair are not on the truck, and schedules change without the technician being notified. Customer complaints about missed arrival windows have risen for two consecutive years, and a growing share of calls require a second visit. The root cause is not dispatcher effort but the fact that booking, customer history, parts, and billing live in four systems that do not share information.</w:t>
      </w:r>
    </w:p>
    <w:p>
      <w:pPr>
        <w:spacing w:after="0" w:before="0" w:line="480"/>
        <w:ind w:firstLine="720"/>
      </w:pPr>
      <w:r>
        <w:t xml:space="preserve">The second fundamental problem is centralized decision making combined with no visible career path for technicians. Branch managers cannot approve a pricing exception to keep an unhappy customer or authorize overtime during a heat wave without calling headquarters, which slows service during peak demand. Technicians see no path to higher pay other than waiting for another year of service, and exit interviews repeatedly name limited growth as the reason for leaving. Voluntary technician turnover has been higher than the owner considers sustainable for three years running, and the company now spends a larger share of its training budget replacing technicians than developing them.</w:t>
      </w:r>
    </w:p>
    <w:p>
      <w:pPr>
        <w:pStyle w:val="Heading2"/>
        <w:spacing w:after="0" w:before="0" w:line="480"/>
      </w:pPr>
      <w:commentRangeStart w:id="6"/>
      <w:r>
        <w:t xml:space="preserve">Why Fundamental Change Is Necessary</w:t>
      </w:r>
      <w:commentRangeEnd w:id="6"/>
      <w:r>
        <w:commentReference w:id="6"/>
      </w:r>
    </w:p>
    <w:p>
      <w:pPr>
        <w:spacing w:after="0" w:before="0" w:line="480"/>
        <w:ind w:firstLine="720"/>
      </w:pPr>
      <w:r>
        <w:t xml:space="preserve">Tallgrass has already attempted an incremental fix. Two years ago, the company hired an additional dispatcher at each branch to reduce scheduling errors. Complaints about missed windows continued to rise, because an extra person working across the same four disconnected systems could not see information those systems never shared. The company's goals depend on changing how work flows and how decisions are made, not on asking people to work harder within the current design. First visit resolution cannot rise while technicians lack customer history and parts visibility, turnover will not fall while technicians see no future at the company, and a fifth branch would multiply existing coordination problems under a structure in which every decision routes through one person.</w:t>
      </w:r>
    </w:p>
    <w:p>
      <w:pPr>
        <w:pStyle w:val="Heading1"/>
        <w:spacing w:after="0" w:before="0" w:line="480"/>
        <w:jc w:val="center"/>
      </w:pPr>
      <w:r>
        <w:t xml:space="preserve">Strategic Plan</w:t>
      </w:r>
    </w:p>
    <w:p>
      <w:pPr>
        <w:pStyle w:val="Heading2"/>
        <w:spacing w:after="0" w:before="0" w:line="480"/>
      </w:pPr>
      <w:commentRangeStart w:id="7"/>
      <w:r>
        <w:t xml:space="preserve">Proposed Strategy</w:t>
      </w:r>
      <w:commentRangeEnd w:id="7"/>
      <w:r>
        <w:commentReference w:id="7"/>
      </w:r>
    </w:p>
    <w:p>
      <w:pPr>
        <w:spacing w:after="0" w:before="0" w:line="480"/>
        <w:ind w:firstLine="720"/>
      </w:pPr>
      <w:r>
        <w:t xml:space="preserve">The proposed strategy, called Connected Field, Empowered Branch, has two linked parts. The first part replaces the four disconnected tools with a single cloud based field service management platform that combines booking, dispatch, customer equipment history, truck inventory, and mobile invoicing. Technicians will carry tablets that show each customer's service history and the parts on their truck before they arrive.</w:t>
      </w:r>
    </w:p>
    <w:p>
      <w:pPr>
        <w:spacing w:after="0" w:before="0" w:line="480"/>
        <w:ind w:firstLine="720"/>
      </w:pPr>
      <w:r>
        <w:t xml:space="preserve">The second part redistributes decision rights and creates a technician career ladder. Branch managers will receive written authority over overtime, pricing exceptions within defined limits, and hiring for approved positions. Technicians will advance through four skill levels, from Level 1 to Level 4, with clear certification requirements and a pay increase at each level. The platform supports the second part by giving branch managers the real time data they need to make decisions responsibly.</w:t>
      </w:r>
    </w:p>
    <w:p>
      <w:pPr>
        <w:spacing w:after="0" w:before="0" w:line="480"/>
        <w:ind w:firstLine="720"/>
      </w:pPr>
      <w:r>
        <w:t xml:space="preserve">The rollout follows practices that research identifies as central to successful change. Phillips and Klein (2023) found that practitioners most often rely on strategies involving communication, stakeholder involvement, encouragement, organizational culture, vision, and mission, and this plan builds each of those into its preparation steps. Errida and Lotfi (2021) also emphasize assessing readiness and involving employees early, which is why the plan begins with a readiness assessment and a single branch pilot rather than a companywide launch.</w:t>
      </w:r>
    </w:p>
    <w:p>
      <w:pPr>
        <w:pStyle w:val="Heading2"/>
        <w:spacing w:after="0" w:before="0" w:line="480"/>
      </w:pPr>
      <w:commentRangeStart w:id="8"/>
      <w:r>
        <w:t xml:space="preserve">Benefits to the Organization and Its Stakeholders</w:t>
      </w:r>
      <w:commentRangeEnd w:id="8"/>
      <w:r>
        <w:commentReference w:id="8"/>
      </w:r>
    </w:p>
    <w:p>
      <w:pPr>
        <w:spacing w:after="0" w:before="0" w:line="480"/>
        <w:ind w:firstLine="720"/>
      </w:pPr>
      <w:r>
        <w:t xml:space="preserve">The strategy advances all three goals. Connected customer history and truck inventory address the first visit resolution goal directly. The career ladder and branch authority address turnover by giving technicians a future and branch managers real responsibility. Together, a standard platform and capable branch leaders make a fifth branch feasible, because the new branch can launch on proven systems rather than inherit the current workarounds. Table 1 summarizes the benefits for each stakeholder group.</w:t>
      </w:r>
    </w:p>
    <w:p>
      <w:pPr>
        <w:spacing w:after="0" w:before="0" w:line="480"/>
      </w:pPr>
      <w:r>
        <w:rPr>
          <w:b/>
          <w:bCs/>
        </w:rPr>
        <w:t xml:space="preserve">Table 1</w:t>
      </w:r>
    </w:p>
    <w:p>
      <w:pPr>
        <w:spacing w:after="0" w:before="0" w:line="480"/>
      </w:pPr>
      <w:r>
        <w:rPr>
          <w:i/>
          <w:iCs/>
        </w:rPr>
        <w:t xml:space="preserve">Benefits of the Strategy by Stakeholder Group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Stakeholder group</w:t>
            </w:r>
          </w:p>
        </w:tc>
        <w:tc>
          <w:tcPr>
            <w:tcW w:type="dxa" w:w="666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Primary benefit</w:t>
            </w:r>
          </w:p>
        </w:tc>
      </w:tr>
      <w:tr>
        <w:trPr>
          <w:tblHeader w:val="false"/>
        </w:trPr>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Chief executive officer</w:t>
            </w:r>
          </w:p>
        </w:tc>
        <w:tc>
          <w:tcPr>
            <w:tcW w:type="dxa" w:w="66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Fewer daily approval requests and reliable data for decisions about the fifth branch</w:t>
            </w:r>
          </w:p>
        </w:tc>
      </w:tr>
      <w:tr>
        <w:trPr>
          <w:tblHeader w:val="false"/>
        </w:trPr>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Branch managers</w:t>
            </w:r>
          </w:p>
        </w:tc>
        <w:tc>
          <w:tcPr>
            <w:tcW w:type="dxa" w:w="66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Authority to resolve customer issues and staffing needs without waiting for headquarters</w:t>
            </w:r>
          </w:p>
        </w:tc>
      </w:tr>
      <w:tr>
        <w:trPr>
          <w:tblHeader w:val="false"/>
        </w:trPr>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Field technicians</w:t>
            </w:r>
          </w:p>
        </w:tc>
        <w:tc>
          <w:tcPr>
            <w:tcW w:type="dxa" w:w="66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Customer history on every call, fewer return trips, and a visible path to higher pay</w:t>
            </w:r>
          </w:p>
        </w:tc>
      </w:tr>
      <w:tr>
        <w:trPr>
          <w:tblHeader w:val="false"/>
        </w:trPr>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Dispatchers and representatives</w:t>
            </w:r>
          </w:p>
        </w:tc>
        <w:tc>
          <w:tcPr>
            <w:tcW w:type="dxa" w:w="66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One system to schedule and confirm calls, with fewer manual phone confirmations</w:t>
            </w:r>
          </w:p>
        </w:tc>
      </w:tr>
      <w:tr>
        <w:trPr>
          <w:tblHeader w:val="false"/>
        </w:trPr>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Homeowners</w:t>
            </w:r>
          </w:p>
        </w:tc>
        <w:tc>
          <w:tcPr>
            <w:tcW w:type="dxa" w:w="66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More accurate arrival windows, more repairs completed on the first visit, and digital invoices</w:t>
            </w:r>
          </w:p>
        </w:tc>
      </w:tr>
      <w:tr>
        <w:trPr>
          <w:tblHeader w:val="false"/>
        </w:trPr>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Suppliers and warranty partners</w:t>
            </w:r>
          </w:p>
        </w:tc>
        <w:tc>
          <w:tcPr>
            <w:tcW w:type="dxa" w:w="66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Clearer parts forecasting and faster claim documentation</w:t>
            </w:r>
          </w:p>
        </w:tc>
      </w:tr>
      <w:tr>
        <w:trPr>
          <w:tblHeader w:val="false"/>
        </w:trPr>
        <w:tc>
          <w:tcPr>
            <w:tcW w:type="dxa" w:w="270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Trade schools</w:t>
            </w:r>
          </w:p>
        </w:tc>
        <w:tc>
          <w:tcPr>
            <w:tcW w:type="dxa" w:w="666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A defined career ladder to present to apprentices considering Tallgrass</w:t>
            </w:r>
          </w:p>
        </w:tc>
      </w:tr>
    </w:tbl>
    <w:p>
      <w:pPr>
        <w:spacing w:after="0" w:before="0" w:line="480"/>
      </w:pPr>
    </w:p>
    <w:p>
      <w:pPr>
        <w:pStyle w:val="Heading2"/>
        <w:spacing w:after="0" w:before="0" w:line="480"/>
      </w:pPr>
      <w:commentRangeStart w:id="9"/>
      <w:r>
        <w:t xml:space="preserve">Steps to Prepare the Organization for Implementation</w:t>
      </w:r>
      <w:commentRangeEnd w:id="9"/>
      <w:r>
        <w:commentReference w:id="9"/>
      </w:r>
    </w:p>
    <w:p>
      <w:pPr>
        <w:spacing w:after="0" w:before="0" w:line="480"/>
        <w:ind w:firstLine="720"/>
      </w:pPr>
      <w:r>
        <w:t xml:space="preserve">Step 1 is to form a guiding change team and assess readiness. The chief executive officer will charter a change team made up of one branch manager, two senior technicians, one dispatcher, and the human resources coordinator. The team will run a short readiness survey and hold listening sessions at every branch to learn which parts of the change employees support and which they fear.</w:t>
      </w:r>
    </w:p>
    <w:p>
      <w:pPr>
        <w:spacing w:after="0" w:before="0" w:line="480"/>
        <w:ind w:firstLine="720"/>
      </w:pPr>
      <w:r>
        <w:t xml:space="preserve">Step 2 is to define decision rights and the career ladder and to select the platform. The chief executive officer and branch managers will write a decision rights document that states which choices branches may make independently. Human resources and senior technicians will draft the four level career ladder with certification requirements. In parallel, the change team will evaluate at least three field service management vendors against requirements gathered in Step 1.</w:t>
      </w:r>
    </w:p>
    <w:p>
      <w:pPr>
        <w:spacing w:after="0" w:before="0" w:line="480"/>
        <w:ind w:firstLine="720"/>
      </w:pPr>
      <w:r>
        <w:t xml:space="preserve">Step 3 is to pilot at one branch. The Lakeside branch, which has the most supportive manager and a moderate call volume, will run the new platform and the new decision rights for one full season. Two technicians from each branch will be trained as super users during the pilot so that every branch has internal experts before its own launch.</w:t>
      </w:r>
    </w:p>
    <w:p>
      <w:pPr>
        <w:spacing w:after="0" w:before="0" w:line="480"/>
        <w:ind w:firstLine="720"/>
      </w:pPr>
      <w:r>
        <w:t xml:space="preserve">Step 4 is to train all employees and complete a phased rollout. After adjusting the process based on pilot results, the remaining three branches will launch one at a time, each supported by its super users, vendor trainers, and the change team.</w:t>
      </w:r>
    </w:p>
    <w:p>
      <w:pPr>
        <w:pStyle w:val="Heading2"/>
        <w:spacing w:after="0" w:before="0" w:line="480"/>
      </w:pPr>
      <w:commentRangeStart w:id="10"/>
      <w:r>
        <w:t xml:space="preserve">Resources Needed for Each Step</w:t>
      </w:r>
      <w:commentRangeEnd w:id="10"/>
      <w:r>
        <w:commentReference w:id="10"/>
      </w:r>
    </w:p>
    <w:p>
      <w:pPr>
        <w:spacing w:after="0" w:before="0" w:line="480"/>
        <w:ind w:firstLine="720"/>
      </w:pPr>
      <w:r>
        <w:t xml:space="preserve">Each step requires different resources, summarized with the timeline in Table 2. Step 1 requires staff time for change team members, a survey tool, and facilitation time from human resources. Step 2 requires leadership time, a consultant with field service experience to support vendor selection, and legal review of the updated handbook. Step 3 requires platform licenses and tablets for the pilot branch, vendor configuration support, data migration from the existing spreadsheet, and paid training hours. Step 4 requires tablets and licenses for all technicians, paid training time for every employee, vendor trainers on site during each launch, and budget for the first round of career ladder pay increases.</w:t>
      </w:r>
    </w:p>
    <w:p>
      <w:pPr>
        <w:pStyle w:val="Heading2"/>
        <w:spacing w:after="0" w:before="0" w:line="480"/>
      </w:pPr>
      <w:commentRangeStart w:id="11"/>
      <w:r>
        <w:t xml:space="preserve">Implementation Timeline</w:t>
      </w:r>
      <w:commentRangeEnd w:id="11"/>
      <w:r>
        <w:commentReference w:id="11"/>
      </w:r>
    </w:p>
    <w:p>
      <w:pPr>
        <w:spacing w:after="0" w:before="0" w:line="480"/>
        <w:ind w:firstLine="720"/>
      </w:pPr>
      <w:r>
        <w:t xml:space="preserve">The full plan runs about 18 months, as shown in Table 2. The timeline deliberately schedules the pilot during the spring shoulder season and avoids launching any branch during the peak summer cooling months.</w:t>
      </w:r>
    </w:p>
    <w:p>
      <w:pPr>
        <w:spacing w:after="0" w:before="0" w:line="480"/>
      </w:pPr>
      <w:r>
        <w:rPr>
          <w:b/>
          <w:bCs/>
        </w:rPr>
        <w:t xml:space="preserve">Table 2</w:t>
      </w:r>
    </w:p>
    <w:p>
      <w:pPr>
        <w:spacing w:after="0" w:before="0" w:line="480"/>
      </w:pPr>
      <w:r>
        <w:rPr>
          <w:i/>
          <w:iCs/>
        </w:rPr>
        <w:t xml:space="preserve">Implementation Plan With Resources and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1900"/>
        <w:gridCol w:w="3160"/>
        <w:gridCol w:w="2000"/>
      </w:tblGrid>
      <w:tr>
        <w:trPr>
          <w:tblHeader/>
        </w:trPr>
        <w:tc>
          <w:tcPr>
            <w:tcW w:type="dxa" w:w="230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Step</w:t>
            </w:r>
          </w:p>
        </w:tc>
        <w:tc>
          <w:tcPr>
            <w:tcW w:type="dxa" w:w="190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Who leads</w:t>
            </w:r>
          </w:p>
        </w:tc>
        <w:tc>
          <w:tcPr>
            <w:tcW w:type="dxa" w:w="316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Key resources</w:t>
            </w:r>
          </w:p>
        </w:tc>
        <w:tc>
          <w:tcPr>
            <w:tcW w:type="dxa" w:w="200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Timeline</w:t>
            </w:r>
          </w:p>
        </w:tc>
      </w:tr>
      <w:tr>
        <w:trPr>
          <w:tblHeader w:val="false"/>
        </w:trPr>
        <w:tc>
          <w:tcPr>
            <w:tcW w:type="dxa" w:w="23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1. Form change team and assess readiness</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Chief executive officer</w:t>
            </w:r>
          </w:p>
        </w:tc>
        <w:tc>
          <w:tcPr>
            <w:tcW w:type="dxa" w:w="3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Team members' time, survey tool, HR facilitation</w:t>
            </w:r>
          </w:p>
        </w:tc>
        <w:tc>
          <w:tcPr>
            <w:tcW w:type="dxa" w:w="20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Months 1 to 2</w:t>
            </w:r>
          </w:p>
        </w:tc>
      </w:tr>
      <w:tr>
        <w:trPr>
          <w:tblHeader w:val="false"/>
        </w:trPr>
        <w:tc>
          <w:tcPr>
            <w:tcW w:type="dxa" w:w="23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2. Define decision rights, career ladder, and platform</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CEO, branch managers, HR</w:t>
            </w:r>
          </w:p>
        </w:tc>
        <w:tc>
          <w:tcPr>
            <w:tcW w:type="dxa" w:w="3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Leadership time, outside consultant, legal review</w:t>
            </w:r>
          </w:p>
        </w:tc>
        <w:tc>
          <w:tcPr>
            <w:tcW w:type="dxa" w:w="20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Months 3 to 5</w:t>
            </w:r>
          </w:p>
        </w:tc>
      </w:tr>
      <w:tr>
        <w:trPr>
          <w:tblHeader w:val="false"/>
        </w:trPr>
        <w:tc>
          <w:tcPr>
            <w:tcW w:type="dxa" w:w="23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3. Pilot at Lakeside branch</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Change team, Lakeside manager</w:t>
            </w:r>
          </w:p>
        </w:tc>
        <w:tc>
          <w:tcPr>
            <w:tcW w:type="dxa" w:w="3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Pilot licenses and tablets, vendor support, data migration, training hours</w:t>
            </w:r>
          </w:p>
        </w:tc>
        <w:tc>
          <w:tcPr>
            <w:tcW w:type="dxa" w:w="20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Months 6 to 10</w:t>
            </w:r>
          </w:p>
        </w:tc>
      </w:tr>
      <w:tr>
        <w:trPr>
          <w:tblHeader w:val="false"/>
        </w:trPr>
        <w:tc>
          <w:tcPr>
            <w:tcW w:type="dxa" w:w="230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4. Train all staff and phased rollout</w:t>
            </w:r>
          </w:p>
        </w:tc>
        <w:tc>
          <w:tcPr>
            <w:tcW w:type="dxa" w:w="190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Branch managers, super users</w:t>
            </w:r>
          </w:p>
        </w:tc>
        <w:tc>
          <w:tcPr>
            <w:tcW w:type="dxa" w:w="316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Companywide tablets and licenses, training time, vendor trainers, pay increase budget</w:t>
            </w:r>
          </w:p>
        </w:tc>
        <w:tc>
          <w:tcPr>
            <w:tcW w:type="dxa" w:w="200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Months 11 to 18</w:t>
            </w:r>
          </w:p>
        </w:tc>
      </w:tr>
    </w:tbl>
    <w:p>
      <w:pPr>
        <w:spacing w:after="0" w:before="0" w:line="480"/>
      </w:pPr>
      <w:r>
        <w:rPr>
          <w:i/>
          <w:iCs/>
        </w:rPr>
        <w:t xml:space="preserve">Note. </w:t>
      </w:r>
      <w:r>
        <w:t xml:space="preserve">Branch launches in Step 4 are scheduled outside the peak summer cooling season.</w:t>
      </w:r>
    </w:p>
    <w:p>
      <w:pPr>
        <w:pStyle w:val="Heading2"/>
        <w:spacing w:after="0" w:before="0" w:line="480"/>
      </w:pPr>
      <w:commentRangeStart w:id="12"/>
      <w:r>
        <w:t xml:space="preserve">Success Metrics</w:t>
      </w:r>
      <w:commentRangeEnd w:id="12"/>
      <w:r>
        <w:commentReference w:id="12"/>
      </w:r>
    </w:p>
    <w:p>
      <w:pPr>
        <w:spacing w:after="0" w:before="0" w:line="480"/>
        <w:ind w:firstLine="720"/>
      </w:pPr>
      <w:r>
        <w:t xml:space="preserve">Three metrics will evaluate the plan. The first is first visit resolution rate, defined as the percentage of service calls completed without a return trip, drawn from platform job records and reviewed monthly by branch. The target is to raise the rate by ten percentage points from the pilot baseline within 12 months of full rollout. The second is twelve month voluntary technician turnover, tracked in the human resources system and reviewed quarterly, with a target of reducing turnover by one third from the current baseline by the end of year two. The third is on time arrival rate, defined as the share of appointments where the technician arrives within the promised window, measured automatically through platform time stamps. Together, these metrics show whether the change is improving both customer outcomes and employee retention.</w:t>
      </w:r>
    </w:p>
    <w:p>
      <w:pPr>
        <w:pStyle w:val="Heading2"/>
        <w:spacing w:after="0" w:before="0" w:line="480"/>
      </w:pPr>
      <w:commentRangeStart w:id="13"/>
      <w:r>
        <w:t xml:space="preserve">Sustaining the Changes</w:t>
      </w:r>
      <w:commentRangeEnd w:id="13"/>
      <w:r>
        <w:commentReference w:id="13"/>
      </w:r>
    </w:p>
    <w:p>
      <w:pPr>
        <w:spacing w:after="0" w:before="0" w:line="480"/>
        <w:ind w:firstLine="720"/>
      </w:pPr>
      <w:r>
        <w:t xml:space="preserve">Several mechanisms will keep the change in place after launch. The decision rights document and career ladder will be written into a revised employee handbook, so they survive leadership turnover. The three success metrics will be added to each branch manager's quarterly scorecard and discussed in a monthly operations review with the chief executive officer. New hire onboarding will teach the platform from the first day, and super users will remain the first point of help at each branch. Finally, the change team will meet quarterly during the first year after rollout to review feedback and adjust the process. Leaders will respond to reported problems by asking what went wrong rather than who is at fault, since Edmondson and Bransby (2023) describe psychological safety as reduced interpersonal risk, which makes employees more willing to surface issues early.</w:t>
      </w:r>
    </w:p>
    <w:p>
      <w:pPr>
        <w:pStyle w:val="Heading2"/>
        <w:spacing w:after="0" w:before="0" w:line="480"/>
      </w:pPr>
      <w:commentRangeStart w:id="14"/>
      <w:r>
        <w:t xml:space="preserve">Challenges That Could Affect Implementation</w:t>
      </w:r>
      <w:commentRangeEnd w:id="14"/>
      <w:r>
        <w:commentReference w:id="14"/>
      </w:r>
    </w:p>
    <w:p>
      <w:pPr>
        <w:spacing w:after="0" w:before="0" w:line="480"/>
        <w:ind w:firstLine="720"/>
      </w:pPr>
      <w:r>
        <w:t xml:space="preserve">The first challenge is technician resistance to tablets. Many senior technicians have worked on paper for decades and may see a tablet as surveillance or as a slowdown on the job. The second challenge is data migration failure. Customer history in the current spreadsheet is inconsistent, and poor data in the new platform could undermine trust in it from the first week. The third challenge is branch manager readiness. Managers who have always escalated decisions may hesitate to use their new authority or may apply it inconsistently across branches.</w:t>
      </w:r>
    </w:p>
    <w:p>
      <w:pPr>
        <w:pStyle w:val="Heading2"/>
        <w:spacing w:after="0" w:before="0" w:line="480"/>
      </w:pPr>
      <w:commentRangeStart w:id="15"/>
      <w:r>
        <w:t xml:space="preserve">Contingency Plans</w:t>
      </w:r>
      <w:commentRangeEnd w:id="15"/>
      <w:r>
        <w:commentReference w:id="15"/>
      </w:r>
    </w:p>
    <w:p>
      <w:pPr>
        <w:spacing w:after="0" w:before="0" w:line="480"/>
        <w:ind w:firstLine="720"/>
      </w:pPr>
      <w:r>
        <w:t xml:space="preserve">If fewer than 80% of pilot technicians are completing jobs in the platform after 30 days, the change team will pair each hesitant technician with a super user for ride along coaching and simplify the mobile screens to the fields technicians use most. If more than 5% of migrated customer records contain errors during pilot testing, the company will pause the migration, assign a temporary data cleanup team, and move only verified records while the remainder is corrected. If a branch manager avoids or misapplies the new authority during the first quarter, human resources will provide decision coaching and a written guide with example scenarios, and the manager will review decisions weekly with the chief executive officer until confidence improves.</w:t>
      </w:r>
    </w:p>
    <w:p>
      <w:pPr>
        <w:pStyle w:val="Heading2"/>
        <w:spacing w:after="0" w:before="0" w:line="480"/>
      </w:pPr>
      <w:commentRangeStart w:id="16"/>
      <w:r>
        <w:t xml:space="preserve">Communicating the Strategic Plan</w:t>
      </w:r>
      <w:commentRangeEnd w:id="16"/>
      <w:r>
        <w:commentReference w:id="16"/>
      </w:r>
    </w:p>
    <w:p>
      <w:pPr>
        <w:spacing w:after="0" w:before="0" w:line="480"/>
        <w:ind w:firstLine="720"/>
      </w:pPr>
      <w:r>
        <w:t xml:space="preserve">Communication will begin before the pilot and continue through rollout, with each audience receiving information through the channel it already uses. The chief executive officer will announce the strategy in person at every branch so employees hear the reasons directly from the owner, and branch managers will hold follow up huddles. Because technicians spend most of the day in the field, updates will reach them through short mobile messages and brief videos rather than long emails. Newman and Ford (2021) recommend upgrading leadership communication tools and building trust when employees work away from a central office, which applies to a mobile technician workforce. Table 3 summarizes the plan for each stakeholder group.</w:t>
      </w:r>
    </w:p>
    <w:p>
      <w:pPr>
        <w:spacing w:after="0" w:before="0" w:line="480"/>
      </w:pPr>
      <w:r>
        <w:rPr>
          <w:b/>
          <w:bCs/>
        </w:rPr>
        <w:t xml:space="preserve">Table 3</w:t>
      </w:r>
    </w:p>
    <w:p>
      <w:pPr>
        <w:spacing w:after="0" w:before="0" w:line="480"/>
      </w:pPr>
      <w:r>
        <w:rPr>
          <w:i/>
          <w:iCs/>
        </w:rPr>
        <w:t xml:space="preserve">Communication Plan by Stakeholder Group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900"/>
        <w:gridCol w:w="2160"/>
        <w:gridCol w:w="1900"/>
      </w:tblGrid>
      <w:tr>
        <w:trPr>
          <w:tblHeader/>
        </w:trPr>
        <w:tc>
          <w:tcPr>
            <w:tcW w:type="dxa" w:w="240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Stakeholder group</w:t>
            </w:r>
          </w:p>
        </w:tc>
        <w:tc>
          <w:tcPr>
            <w:tcW w:type="dxa" w:w="290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Key message</w:t>
            </w:r>
          </w:p>
        </w:tc>
        <w:tc>
          <w:tcPr>
            <w:tcW w:type="dxa" w:w="216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Channel and sender</w:t>
            </w:r>
          </w:p>
        </w:tc>
        <w:tc>
          <w:tcPr>
            <w:tcW w:type="dxa" w:w="1900"/>
            <w:tcBorders>
              <w:top w:val="single" w:color="000000" w:sz="4"/>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bCs/>
                <w:sz w:val="22"/>
                <w:szCs w:val="22"/>
              </w:rPr>
              <w:t xml:space="preserve">Frequency</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Chief executive officer</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Progress against metrics and budget</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Change team report</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Monthly</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Branch managers</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New authority and rollout schedule</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Leadership meeting, CEO</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Biweekly</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Field technicians</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Why the change matters and the career ladder</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Branch huddles, mobile videos, managers</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Weekly during rollout</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Dispatchers and representatives</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New scheduling workflow</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Hands on training, super users</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Before each launch</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Office staff</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Billing and HR process changes</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Department meetings, HR</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Monthly</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Homeowners</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Better arrival windows and digital invoices</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Email, website notice</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At branch launch</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Suppliers and warranty partners</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Ordering and claims changes</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Account manager letters</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Before pilot</w:t>
            </w:r>
          </w:p>
        </w:tc>
      </w:tr>
      <w:tr>
        <w:trPr>
          <w:tblHeader w:val="false"/>
        </w:trPr>
        <w:tc>
          <w:tcPr>
            <w:tcW w:type="dxa" w:w="2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Trade schools</w:t>
            </w:r>
          </w:p>
        </w:tc>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New career ladder for apprentices</w:t>
            </w:r>
          </w:p>
        </w:tc>
        <w:tc>
          <w:tcPr>
            <w:tcW w:type="dxa" w:w="21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Instructor meetings, HR</w:t>
            </w:r>
          </w:p>
        </w:tc>
        <w:tc>
          <w:tcPr>
            <w:tcW w:type="dxa" w:w="1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Each semester</w:t>
            </w:r>
          </w:p>
        </w:tc>
      </w:tr>
      <w:tr>
        <w:trPr>
          <w:tblHeader w:val="false"/>
        </w:trPr>
        <w:tc>
          <w:tcPr>
            <w:tcW w:type="dxa" w:w="240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Permitting offices</w:t>
            </w:r>
          </w:p>
        </w:tc>
        <w:tc>
          <w:tcPr>
            <w:tcW w:type="dxa" w:w="290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Digital documentation for inspections</w:t>
            </w:r>
          </w:p>
        </w:tc>
        <w:tc>
          <w:tcPr>
            <w:tcW w:type="dxa" w:w="216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Letter from operations</w:t>
            </w:r>
          </w:p>
        </w:tc>
        <w:tc>
          <w:tcPr>
            <w:tcW w:type="dxa" w:w="1900"/>
            <w:tcBorders>
              <w:top w:val="none" w:color="FFFFFF" w:sz="0"/>
              <w:left w:val="none" w:color="FFFFFF" w:sz="0"/>
              <w:bottom w:val="single" w:color="000000" w:sz="4"/>
              <w:right w:val="none" w:color="FFFFFF" w:sz="0"/>
            </w:tcBorders>
            <w:tcMar>
              <w:top w:type="dxa" w:w="60"/>
              <w:left w:type="dxa" w:w="100"/>
              <w:bottom w:type="dxa" w:w="60"/>
              <w:right w:type="dxa" w:w="100"/>
            </w:tcMar>
          </w:tcPr>
          <w:p>
            <w:pPr>
              <w:spacing w:after="40" w:before="40" w:line="240"/>
            </w:pPr>
            <w:r>
              <w:rPr>
                <w:b w:val="false"/>
                <w:bCs w:val="false"/>
                <w:sz w:val="22"/>
                <w:szCs w:val="22"/>
              </w:rPr>
              <w:t xml:space="preserve">Once, before rollout</w:t>
            </w:r>
          </w:p>
        </w:tc>
      </w:tr>
    </w:tbl>
    <w:p>
      <w:pPr>
        <w:spacing w:after="0" w:before="0" w:line="480"/>
      </w:pPr>
    </w:p>
    <w:p>
      <w:pPr>
        <w:pStyle w:val="Heading1"/>
        <w:spacing w:after="0" w:before="0" w:line="480"/>
        <w:jc w:val="center"/>
      </w:pPr>
      <w:r>
        <w:t xml:space="preserve">Conclusion</w:t>
      </w:r>
    </w:p>
    <w:p>
      <w:pPr>
        <w:spacing w:after="0" w:before="0" w:line="480"/>
        <w:ind w:firstLine="720"/>
      </w:pPr>
      <w:r>
        <w:t xml:space="preserve">Tallgrass Comfort Services built its reputation on honest service, but disconnected systems and centralized decision making now stand between the company and its goals. The Connected Field, Empowered Branch strategy addresses both fundamental problems together, prepares the organization through a readiness assessment and pilot, measures success through clear metrics, and embeds the change in policy, scorecards, and training. With deliberate communication to every stakeholder group, the company can improve service, keep its best technicians, and grow into a fifth branch on a stronger foundation.</w:t>
      </w:r>
    </w:p>
    <w:p>
      <w:r>
        <w:br w:type="page"/>
      </w:r>
    </w:p>
    <w:p>
      <w:pPr>
        <w:pStyle w:val="Heading1"/>
        <w:spacing w:after="0" w:before="0" w:line="480"/>
        <w:jc w:val="center"/>
      </w:pPr>
      <w:commentRangeStart w:id="17"/>
      <w:r>
        <w:t xml:space="preserve">References</w:t>
      </w:r>
      <w:commentRangeEnd w:id="17"/>
      <w:r>
        <w:commentReference w:id="17"/>
      </w:r>
    </w:p>
    <w:p>
      <w:pPr>
        <w:spacing w:after="0" w:before="0" w:line="480"/>
        <w:ind w:left="720" w:hanging="720"/>
      </w:pPr>
      <w:r>
        <w:t xml:space="preserve">Edmondson, A. C., &amp; Bransby, D. P. (2023). Psychological safety comes of age: Observed themes in an established literature. </w:t>
      </w:r>
      <w:r>
        <w:rPr>
          <w:i/>
          <w:iCs/>
        </w:rPr>
        <w:t xml:space="preserve">Annual Review of Organizational Psychology and Organizational Behavior, 10</w:t>
      </w:r>
      <w:r>
        <w:t xml:space="preserve">, 55–78. https://doi.org/10.1146/annurev-orgpsych-120920-055217</w:t>
      </w:r>
    </w:p>
    <w:p>
      <w:pPr>
        <w:spacing w:after="0" w:before="0" w:line="480"/>
        <w:ind w:left="720" w:hanging="720"/>
      </w:pPr>
      <w:r>
        <w:t xml:space="preserve">Errida, A., &amp; Lotfi, B. (2021). The determinants of organizational change management success: Literature review and case study. </w:t>
      </w:r>
      <w:r>
        <w:rPr>
          <w:i/>
          <w:iCs/>
        </w:rPr>
        <w:t xml:space="preserve">International Journal of Engineering Business Management, 13</w:t>
      </w:r>
      <w:r>
        <w:t xml:space="preserve">. https://doi.org/10.1177/18479790211016273</w:t>
      </w:r>
    </w:p>
    <w:p>
      <w:pPr>
        <w:spacing w:after="0" w:before="0" w:line="480"/>
        <w:ind w:left="720" w:hanging="720"/>
      </w:pPr>
      <w:r>
        <w:t xml:space="preserve">Newman, S. A., &amp; Ford, R. C. (2021). Five steps to leading your team in the virtual COVID-19 workplace. </w:t>
      </w:r>
      <w:r>
        <w:rPr>
          <w:i/>
          <w:iCs/>
        </w:rPr>
        <w:t xml:space="preserve">Organizational Dynamics, 50</w:t>
      </w:r>
      <w:r>
        <w:t xml:space="preserve">(1), Article 100802. https://doi.org/10.1016/j.orgdyn.2020.100802</w:t>
      </w:r>
    </w:p>
    <w:p>
      <w:pPr>
        <w:spacing w:after="0" w:before="0" w:line="480"/>
        <w:ind w:left="720" w:hanging="720"/>
      </w:pPr>
      <w:r>
        <w:t xml:space="preserve">Phillips, J., &amp; Klein, J. D. (2023). Change management: From theory to practice. </w:t>
      </w:r>
      <w:r>
        <w:rPr>
          <w:i/>
          <w:iCs/>
        </w:rPr>
        <w:t xml:space="preserve">TechTrends, 67</w:t>
      </w:r>
      <w:r>
        <w:t xml:space="preserve">(1), 189–197. https://doi.org/10.1007/s11528-022-00775-0</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09-25T00:00:00.000Z">
    <w:p>
      <w:r>
        <w:t xml:space="preserve">Illustrative example for study purposes only. Tallgrass Comfort Services and every person, figure, and event in this report are fictitious. JHM2 requires an organization you have real experience with, so use this to see structure and depth, then write about your own organization.</w:t>
      </w:r>
    </w:p>
  </w:comment>
  <w:comment w:id="1" w:author="Gradevia Editorial" w:date="2026-09-25T00:00:00.000Z">
    <w:p>
      <w:r>
        <w:t xml:space="preserve">A1: The mission is stated, then explained in practical terms so the evaluator sees what it means day to day.</w:t>
      </w:r>
    </w:p>
  </w:comment>
  <w:comment w:id="2" w:author="Gradevia Editorial" w:date="2026-09-25T00:00:00.000Z">
    <w:p>
      <w:r>
        <w:t xml:space="preserve">A1a: Goals are specific to the three year window and measurable, which lets them connect later to the strategy (B1) and metrics (B3a).</w:t>
      </w:r>
    </w:p>
  </w:comment>
  <w:comment w:id="3" w:author="Gradevia Editorial" w:date="2026-09-25T00:00:00.000Z">
    <w:p>
      <w:r>
        <w:t xml:space="preserve">A2: Internal and external groups are both named, with each group's stake in the change. Every group listed here reappears in the communication plan (B4).</w:t>
      </w:r>
    </w:p>
  </w:comment>
  <w:comment w:id="4" w:author="Gradevia Editorial" w:date="2026-09-25T00:00:00.000Z">
    <w:p>
      <w:r>
        <w:t xml:space="preserve">A3: Covers all four elements named in the prompt (structure, policies, procedures, and organizational systems) instead of describing only the CEO's style.</w:t>
      </w:r>
    </w:p>
  </w:comment>
  <w:comment w:id="5" w:author="Gradevia Editorial" w:date="2026-09-25T00:00:00.000Z">
    <w:p>
      <w:r>
        <w:t xml:space="preserve">A4: Two problems, each separated into symptoms and a root cause, with internal evidence described in general terms (no real financial data, as the task directions require).</w:t>
      </w:r>
    </w:p>
  </w:comment>
  <w:comment w:id="6" w:author="Gradevia Editorial" w:date="2026-09-25T00:00:00.000Z">
    <w:p>
      <w:r>
        <w:t xml:space="preserve">A5: Explains why incremental fixes will not work by naming a fix the company already tried and why it failed.</w:t>
      </w:r>
    </w:p>
  </w:comment>
  <w:comment w:id="7" w:author="Gradevia Editorial" w:date="2026-09-25T00:00:00.000Z">
    <w:p>
      <w:r>
        <w:t xml:space="preserve">B1: One integrated strategy that addresses both fundamental problems from A4, grounded in change management research.</w:t>
      </w:r>
    </w:p>
  </w:comment>
  <w:comment w:id="8" w:author="Gradevia Editorial" w:date="2026-09-25T00:00:00.000Z">
    <w:p>
      <w:r>
        <w:t xml:space="preserve">B1a: Benefits are organized by the stakeholder groups named in A2, and they connect to the three year goals in A1a.</w:t>
      </w:r>
    </w:p>
  </w:comment>
  <w:comment w:id="9" w:author="Gradevia Editorial" w:date="2026-09-25T00:00:00.000Z">
    <w:p>
      <w:r>
        <w:t xml:space="preserve">B2a: Four preparation steps (the rubric requires at least three). Each explains who acts and what they do to ready the organization, before full rollout.</w:t>
      </w:r>
    </w:p>
  </w:comment>
  <w:comment w:id="10" w:author="Gradevia Editorial" w:date="2026-09-25T00:00:00.000Z">
    <w:p>
      <w:r>
        <w:t xml:space="preserve">B2b: Specific resources are named for every step, in general terms rather than dollar figures.</w:t>
      </w:r>
    </w:p>
  </w:comment>
  <w:comment w:id="11" w:author="Gradevia Editorial" w:date="2026-09-25T00:00:00.000Z">
    <w:p>
      <w:r>
        <w:t xml:space="preserve">B2c: Every step has its own timeline. The table combines B2a, B2b, and B2c so the evaluator can see all three at once.</w:t>
      </w:r>
    </w:p>
  </w:comment>
  <w:comment w:id="12" w:author="Gradevia Editorial" w:date="2026-09-25T00:00:00.000Z">
    <w:p>
      <w:r>
        <w:t xml:space="preserve">B3a: Three metrics (the rubric asks for at least two), each with a definition, data source, target, and review cadence.</w:t>
      </w:r>
    </w:p>
  </w:comment>
  <w:comment w:id="13" w:author="Gradevia Editorial" w:date="2026-09-25T00:00:00.000Z">
    <w:p>
      <w:r>
        <w:t xml:space="preserve">B3b: Explains how the change becomes normal work through policy, measurement, training, and reinforcement.</w:t>
      </w:r>
    </w:p>
  </w:comment>
  <w:comment w:id="14" w:author="Gradevia Editorial" w:date="2026-09-25T00:00:00.000Z">
    <w:p>
      <w:r>
        <w:t xml:space="preserve">B3c: Three challenges, each explained in terms of why it is likely at this specific organization.</w:t>
      </w:r>
    </w:p>
  </w:comment>
  <w:comment w:id="15" w:author="Gradevia Editorial" w:date="2026-09-25T00:00:00.000Z">
    <w:p>
      <w:r>
        <w:t xml:space="preserve">B3ci: One contingency for each challenge in B3c, and each has a trigger so the plan says exactly when it activates.</w:t>
      </w:r>
    </w:p>
  </w:comment>
  <w:comment w:id="16" w:author="Gradevia Editorial" w:date="2026-09-25T00:00:00.000Z">
    <w:p>
      <w:r>
        <w:t xml:space="preserve">B4: Every stakeholder group from A2 has a message, channel, sender, and frequency. The table carries the detail and the paragraph explains the channel choices.</w:t>
      </w:r>
    </w:p>
  </w:comment>
  <w:comment w:id="17" w:author="Gradevia Editorial" w:date="2026-09-25T00:00:00.000Z">
    <w:p>
      <w:r>
        <w:t xml:space="preserve">D: Every in text citation appears here with author, date, title, and source location, in APA 7 format.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0" w:before="0" w:line="48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spacing w:after="0" w:before="0" w:line="480"/>
      <w:outlineLvl w:val="1"/>
    </w:pPr>
    <w:rPr>
      <w:rFonts w:ascii="Times New Roman" w:cs="Times New Roman" w:eastAsia="Times New Roman" w:hAnsi="Times New Roman"/>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Strategy for Tallgrass Comfort Services</dc:title>
  <dc:creator>Gradevia</dc:creator>
  <cp:lastModifiedBy>Un-named</cp:lastModifiedBy>
  <cp:revision>1</cp:revision>
  <dcterms:created xsi:type="dcterms:W3CDTF">2026-09-24T22:06:15.590Z</dcterms:created>
  <dcterms:modified xsi:type="dcterms:W3CDTF">2026-09-24T22:06:15.599Z</dcterms:modified>
</cp:coreProperties>
</file>

<file path=docProps/custom.xml><?xml version="1.0" encoding="utf-8"?>
<Properties xmlns="http://schemas.openxmlformats.org/officeDocument/2006/custom-properties" xmlns:vt="http://schemas.openxmlformats.org/officeDocument/2006/docPropsVTypes"/>
</file>