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480"/>
        <w:jc w:val="center"/>
      </w:pPr>
      <w:r>
        <w:rPr>
          <w:rFonts w:ascii="Times New Roman" w:cs="Times New Roman" w:eastAsia="Times New Roman" w:hAnsi="Times New Roman"/>
          <w:b/>
          <w:bCs/>
          <w:sz w:val="28"/>
          <w:szCs w:val="28"/>
        </w:rPr>
        <w:t xml:space="preserve">FICTIONAL EXAMPLE FOR ILLUSTRATION ONLY — DO NOT SUBMIT</w:t>
      </w:r>
    </w:p>
    <w:p>
      <w:pPr>
        <w:spacing w:line="480" w:lineRule="auto"/>
        <w:jc w:val="left"/>
      </w:pPr>
      <w:r>
        <w:rPr>
          <w:rFonts w:ascii="Times New Roman" w:cs="Times New Roman" w:eastAsia="Times New Roman" w:hAnsi="Times New Roman"/>
          <w:sz w:val="24"/>
          <w:szCs w:val="24"/>
        </w:rPr>
        <w:t xml:space="preserve"/>
      </w:r>
    </w:p>
    <w:p>
      <w:pPr>
        <w:spacing w:line="480" w:lineRule="auto"/>
        <w:jc w:val="left"/>
      </w:pPr>
      <w:r>
        <w:rPr>
          <w:rFonts w:ascii="Times New Roman" w:cs="Times New Roman" w:eastAsia="Times New Roman" w:hAnsi="Times New Roman"/>
          <w:sz w:val="24"/>
          <w:szCs w:val="24"/>
        </w:rPr>
        <w:t xml:space="preserve">This document is a fictional case study created solely to demonstrate how a Herzing University BH710 Unit 6 Case Study (Scenario) assignment could be structured. Meridian Behavioral Health Partners, the client identified as M.T., and every organizational, clinical, and billing detail in this document are entirely invented for instructional purposes. No real agency, patient, or event is depicted or referenced.</w:t>
      </w:r>
    </w:p>
    <w:p>
      <w:pPr>
        <w:spacing w:line="480" w:lineRule="auto"/>
        <w:jc w:val="left"/>
      </w:pPr>
      <w:r>
        <w:rPr>
          <w:rFonts w:ascii="Times New Roman" w:cs="Times New Roman" w:eastAsia="Times New Roman" w:hAnsi="Times New Roman"/>
          <w:sz w:val="24"/>
          <w:szCs w:val="24"/>
        </w:rPr>
        <w:t xml:space="preserve">Every scholarly and governmental source cited in this document is real and independently verifiable. Only the application of those sources to the fictional Meridian scenario is illustrative. Do not copy this document, or any part of it, and submit it as your own coursework. Doing so would constitute academic dishonesty under most institutional policies, including Herzing University's.</w:t>
      </w:r>
    </w:p>
    <w:p>
      <w:pPr>
        <w:spacing w:line="480" w:lineRule="auto"/>
        <w:jc w:val="left"/>
      </w:pPr>
      <w:r>
        <w:rPr>
          <w:rFonts w:ascii="Times New Roman" w:cs="Times New Roman" w:eastAsia="Times New Roman" w:hAnsi="Times New Roman"/>
          <w:sz w:val="24"/>
          <w:szCs w:val="24"/>
        </w:rPr>
        <w:t xml:space="preserve">This example is provided by Gradevia (gradevia.com) as a study aid to illustrate assignment structure, APA 7th edition formatting, and how to integrate leadership, billing and coding, regulatory compliance, and information and communication technology analysis into a single case study. Replace every detail with your own assigned scenario, your own analysis, and your own sources before creating your actual submission.</w:t>
      </w:r>
    </w:p>
    <w:p>
      <w:r>
        <w:br w:type="page"/>
      </w:r>
    </w:p>
    <w:p>
      <w:pPr>
        <w:spacing w:line="480"/>
      </w:pPr>
    </w:p>
    <w:p>
      <w:pPr>
        <w:spacing w:line="480"/>
      </w:pPr>
    </w:p>
    <w:p>
      <w:pPr>
        <w:spacing w:line="480"/>
      </w:pPr>
    </w:p>
    <w:p>
      <w:pPr>
        <w:spacing w:line="480" w:lineRule="auto"/>
        <w:jc w:val="center"/>
      </w:pPr>
      <w:r>
        <w:rPr>
          <w:rFonts w:ascii="Times New Roman" w:cs="Times New Roman" w:eastAsia="Times New Roman" w:hAnsi="Times New Roman"/>
          <w:b/>
          <w:bCs/>
          <w:sz w:val="24"/>
          <w:szCs w:val="24"/>
        </w:rPr>
        <w:t xml:space="preserve">Documentation, Billing, Compliance, and Leadership After an Information and Communication Technology Transition: A Case Study of Meridian Behavioral Health Partners (Fictional Example)</w:t>
      </w:r>
    </w:p>
    <w:p>
      <w:pPr>
        <w:spacing w:line="480" w:lineRule="auto"/>
        <w:jc w:val="left"/>
      </w:pPr>
      <w:r>
        <w:rPr>
          <w:rFonts w:ascii="Times New Roman" w:cs="Times New Roman" w:eastAsia="Times New Roman" w:hAnsi="Times New Roman"/>
          <w:sz w:val="24"/>
          <w:szCs w:val="24"/>
        </w:rPr>
        <w:t xml:space="preserve"/>
      </w:r>
    </w:p>
    <w:p>
      <w:pPr>
        <w:spacing w:line="480" w:lineRule="auto"/>
        <w:jc w:val="center"/>
      </w:pPr>
      <w:r>
        <w:rPr>
          <w:rFonts w:ascii="Times New Roman" w:cs="Times New Roman" w:eastAsia="Times New Roman" w:hAnsi="Times New Roman"/>
          <w:sz w:val="24"/>
          <w:szCs w:val="24"/>
        </w:rPr>
        <w:t xml:space="preserve">[Student Name] (Fictional Example)</w:t>
      </w:r>
    </w:p>
    <w:p>
      <w:pPr>
        <w:spacing w:line="480" w:lineRule="auto"/>
        <w:jc w:val="center"/>
      </w:pPr>
      <w:r>
        <w:rPr>
          <w:rFonts w:ascii="Times New Roman" w:cs="Times New Roman" w:eastAsia="Times New Roman" w:hAnsi="Times New Roman"/>
          <w:sz w:val="24"/>
          <w:szCs w:val="24"/>
        </w:rPr>
        <w:t xml:space="preserve">School of Nursing and Health Sciences, Herzing University</w:t>
      </w:r>
    </w:p>
    <w:p>
      <w:pPr>
        <w:spacing w:line="480" w:lineRule="auto"/>
        <w:jc w:val="center"/>
      </w:pPr>
      <w:r>
        <w:rPr>
          <w:rFonts w:ascii="Times New Roman" w:cs="Times New Roman" w:eastAsia="Times New Roman" w:hAnsi="Times New Roman"/>
          <w:sz w:val="24"/>
          <w:szCs w:val="24"/>
        </w:rPr>
        <w:t xml:space="preserve">BH710: Policy and Value-Based Care in Behavioral Health</w:t>
      </w:r>
    </w:p>
    <w:p>
      <w:pPr>
        <w:spacing w:line="480" w:lineRule="auto"/>
        <w:jc w:val="center"/>
      </w:pPr>
      <w:r>
        <w:rPr>
          <w:rFonts w:ascii="Times New Roman" w:cs="Times New Roman" w:eastAsia="Times New Roman" w:hAnsi="Times New Roman"/>
          <w:sz w:val="24"/>
          <w:szCs w:val="24"/>
        </w:rPr>
        <w:t xml:space="preserve">[Instructor Name] (Fictional Example)</w:t>
      </w:r>
    </w:p>
    <w:p>
      <w:pPr>
        <w:spacing w:line="480" w:lineRule="auto"/>
        <w:jc w:val="center"/>
      </w:pPr>
      <w:r>
        <w:rPr>
          <w:rFonts w:ascii="Times New Roman" w:cs="Times New Roman" w:eastAsia="Times New Roman" w:hAnsi="Times New Roman"/>
          <w:sz w:val="24"/>
          <w:szCs w:val="24"/>
        </w:rPr>
        <w:t xml:space="preserve">[Due Date] (Fictional Example)</w:t>
      </w:r>
    </w:p>
    <w:p>
      <w:r>
        <w:br w:type="page"/>
      </w:r>
    </w:p>
    <w:p>
      <w:pPr>
        <w:spacing w:line="480"/>
        <w:jc w:val="center"/>
      </w:pPr>
      <w:r>
        <w:rPr>
          <w:rFonts w:ascii="Times New Roman" w:cs="Times New Roman" w:eastAsia="Times New Roman" w:hAnsi="Times New Roman"/>
          <w:b/>
          <w:bCs/>
          <w:sz w:val="24"/>
          <w:szCs w:val="24"/>
        </w:rPr>
        <w:t xml:space="preserve">Documentation, Billing, Compliance, and Leadership After an Information and Communication Technology Transition: A Case Study of Meridian Behavioral Health Partners</w:t>
      </w:r>
    </w:p>
    <w:p>
      <w:pPr>
        <w:keepNext/>
        <w:spacing w:before="240" w:line="480"/>
        <w:jc w:val="center"/>
      </w:pPr>
      <w:r>
        <w:rPr>
          <w:rFonts w:ascii="Times New Roman" w:cs="Times New Roman" w:eastAsia="Times New Roman" w:hAnsi="Times New Roman"/>
          <w:b/>
          <w:bCs/>
          <w:sz w:val="24"/>
          <w:szCs w:val="24"/>
        </w:rPr>
        <w:t xml:space="preserve">Case Background</w:t>
      </w:r>
    </w:p>
    <w:p>
      <w:pPr>
        <w:keepNext/>
        <w:spacing w:before="120" w:line="480"/>
        <w:jc w:val="left"/>
      </w:pPr>
      <w:r>
        <w:rPr>
          <w:rFonts w:ascii="Times New Roman" w:cs="Times New Roman" w:eastAsia="Times New Roman" w:hAnsi="Times New Roman"/>
          <w:b/>
          <w:bCs/>
          <w:sz w:val="24"/>
          <w:szCs w:val="24"/>
        </w:rPr>
        <w:t xml:space="preserve">Client History</w:t>
      </w:r>
    </w:p>
    <w:p>
      <w:pPr>
        <w:spacing w:line="480" w:lineRule="auto"/>
        <w:ind w:firstLine="720"/>
        <w:jc w:val="left"/>
      </w:pPr>
      <w:r>
        <w:rPr>
          <w:rFonts w:ascii="Times New Roman" w:cs="Times New Roman" w:eastAsia="Times New Roman" w:hAnsi="Times New Roman"/>
          <w:sz w:val="24"/>
          <w:szCs w:val="24"/>
        </w:rPr>
        <w:t xml:space="preserve">M.T. (initials used throughout to protect identity, in keeping with standard case study convention) is a 38-year-old adult client of Meridian Behavioral Health Partners, a fictional nonprofit community behavioral health agency. M.T. carries a diagnosis of schizoaffective disorder, bipolar type, with a co-occurring stimulant use disorder currently in early remission. Over the three years preceding the events described in this case, M.T. experienced five inpatient psychiatric hospitalizations, nine emergency department visits for acute psychiatric symptoms, and four mobile crisis team contacts in the community. M.T. was arrested once during a psychotic episode on a charge of disorderly conduct and is currently enrolled in a 12-month mental health diversion court program, which requires Meridian to submit periodic treatment-compliance reports to the presiding court as a condition of M.T. remaining out of incarceration.</w:t>
      </w:r>
    </w:p>
    <w:p>
      <w:pPr>
        <w:spacing w:line="480" w:lineRule="auto"/>
        <w:ind w:firstLine="720"/>
        <w:jc w:val="left"/>
      </w:pPr>
      <w:r>
        <w:rPr>
          <w:rFonts w:ascii="Times New Roman" w:cs="Times New Roman" w:eastAsia="Times New Roman" w:hAnsi="Times New Roman"/>
          <w:sz w:val="24"/>
          <w:szCs w:val="24"/>
        </w:rPr>
        <w:t xml:space="preserve">This pattern of repeated acute-care utilization alongside criminal justice system contact is consistent with what the literature on behavioral health and criminal justice intersection describes as a recidivism cycle: individuals with untreated or under-treated serious mental illness disproportionately cycle through emergency departments, inpatient units, and jails rather than stable outpatient care, often because no single point of contact in the system is positioned to interrupt the cycle (Khalsa et al., 2018). Crisis intervention team models, which train law enforcement and behavioral health responders to jointly manage psychiatric crises in the community rather than defaulting to arrest, have demonstrated an ability to redirect this cycle when implemented and sustained over time (Khalsa et al., 2018). M.T.'s diversion court enrollment reflects exactly this kind of redirection attempt, which makes Meridian's current documentation and communication failures, described below, especially consequential: a diversion arrangement depends on reliable reporting back to the court, and reliable reporting depends on an agency that can track a client's treatment status accurately.</w:t>
      </w:r>
    </w:p>
    <w:p>
      <w:pPr>
        <w:keepNext/>
        <w:spacing w:before="120" w:line="480"/>
        <w:jc w:val="left"/>
      </w:pPr>
      <w:r>
        <w:rPr>
          <w:rFonts w:ascii="Times New Roman" w:cs="Times New Roman" w:eastAsia="Times New Roman" w:hAnsi="Times New Roman"/>
          <w:b/>
          <w:bCs/>
          <w:sz w:val="24"/>
          <w:szCs w:val="24"/>
        </w:rPr>
        <w:t xml:space="preserve">Agency and Information and Communication Technology Context</w:t>
      </w:r>
    </w:p>
    <w:p>
      <w:pPr>
        <w:spacing w:line="480" w:lineRule="auto"/>
        <w:ind w:firstLine="720"/>
        <w:jc w:val="left"/>
      </w:pPr>
      <w:r>
        <w:rPr>
          <w:rFonts w:ascii="Times New Roman" w:cs="Times New Roman" w:eastAsia="Times New Roman" w:hAnsi="Times New Roman"/>
          <w:sz w:val="24"/>
          <w:szCs w:val="24"/>
        </w:rPr>
        <w:t xml:space="preserve">Meridian Behavioral Health Partners serves approximately 3,200 active clients annually across outpatient psychiatry, case management, crisis response, and peer support services. Seven months before the incident described below, Meridian completed a system-wide information and communication technology (ICT) transition, replacing three previously separate systems, a paper-based case management log, a standalone electronic health record (EHR) used only by prescribers, and separate billing software, with a single integrated platform combining an EHR, e-prescribing, a telehealth module, a billing and claims engine, and a reporting and analytics dashboard.</w:t>
      </w:r>
    </w:p>
    <w:p>
      <w:pPr>
        <w:spacing w:line="480" w:lineRule="auto"/>
        <w:ind w:firstLine="720"/>
        <w:jc w:val="left"/>
      </w:pPr>
      <w:r>
        <w:rPr>
          <w:rFonts w:ascii="Times New Roman" w:cs="Times New Roman" w:eastAsia="Times New Roman" w:hAnsi="Times New Roman"/>
          <w:sz w:val="24"/>
          <w:szCs w:val="24"/>
        </w:rPr>
        <w:t xml:space="preserve">The go-live was executed primarily as a technical migration: data was transferred, staff received a series of software-navigation training sessions, and the new platform went live on the announced date. What did not accompany the technical migration was a parallel redesign of cross-disciplinary workflow and documentation standards. Case managers, therapists, and prescribers each continued largely following their prior note-taking habits inside the new system's templates, and the crisis response team, which operates on a different shift schedule and had previously relied on a dedicated paper log for after-hours contacts, was the slowest group to adopt the new documentation workflow consistently.</w:t>
      </w:r>
    </w:p>
    <w:p>
      <w:pPr>
        <w:spacing w:line="480" w:lineRule="auto"/>
        <w:ind w:firstLine="720"/>
        <w:jc w:val="left"/>
      </w:pPr>
      <w:r>
        <w:rPr>
          <w:rFonts w:ascii="Times New Roman" w:cs="Times New Roman" w:eastAsia="Times New Roman" w:hAnsi="Times New Roman"/>
          <w:sz w:val="24"/>
          <w:szCs w:val="24"/>
        </w:rPr>
        <w:t xml:space="preserve">A recent incident involving M.T. illustrates the resulting pattern directly. A mobile crisis team contact for M.T., triggered by a reported escalation in psychotic symptoms, was documented by the responding crisis clinician using a general progress-note template rather than the platform's dedicated crisis-contact template, a template difference that determined whether the entry surfaced automatically on the outpatient prescriber's review dashboard. As a result, M.T.'s scheduled medication review, which should have been triggered by that crisis contact, did not occur on schedule. Separately, M.T.'s signed consent authorizing Meridian to share treatment-compliance information with the diversion court had expired in the system; the platform was configured to generate a renewal alert 30 days before expiration, but the alert was never triggered because the original consent had been entered as a static scanned document rather than through the platform's structured consent-tracking field. Finally, the crisis contact itself was billed to M.T.'s insurer using a standard outpatient evaluation and management code rather than the correct crisis intervention code, a miscoding later flagged in Meridian's quarterly internal billing audit as part of a broader, agency-wide rise in claim denials since the go-live.</w:t>
      </w:r>
    </w:p>
    <w:p>
      <w:pPr>
        <w:spacing w:line="480" w:lineRule="auto"/>
        <w:ind w:firstLine="720"/>
        <w:jc w:val="left"/>
      </w:pPr>
      <w:r>
        <w:rPr>
          <w:rFonts w:ascii="Times New Roman" w:cs="Times New Roman" w:eastAsia="Times New Roman" w:hAnsi="Times New Roman"/>
          <w:sz w:val="24"/>
          <w:szCs w:val="24"/>
        </w:rPr>
        <w:t xml:space="preserve">Each of these three failures, a missed clinical follow-up, a lapsed consent, and a coding error, is a distinct operational problem, but they share a common root cause: an ICT transition implemented as a one-time technology swap rather than as an organizational change requiring sustained staff education, redesigned cross-disciplinary workflows, and active leadership oversight of adoption. The remainder of this case study analyzes that root cause and its consequences across leadership, billing and coding, regulatory compliance, and the ICT system itself, and proposes a leadership-driven strategy to resolve it.</w:t>
      </w:r>
    </w:p>
    <w:p>
      <w:pPr>
        <w:keepNext/>
        <w:spacing w:before="240" w:line="480"/>
        <w:jc w:val="center"/>
      </w:pPr>
      <w:r>
        <w:rPr>
          <w:rFonts w:ascii="Times New Roman" w:cs="Times New Roman" w:eastAsia="Times New Roman" w:hAnsi="Times New Roman"/>
          <w:b/>
          <w:bCs/>
          <w:sz w:val="24"/>
          <w:szCs w:val="24"/>
        </w:rPr>
        <w:t xml:space="preserve">Leadership Assessment</w:t>
      </w:r>
    </w:p>
    <w:p>
      <w:pPr>
        <w:spacing w:line="480" w:lineRule="auto"/>
        <w:ind w:firstLine="720"/>
        <w:jc w:val="left"/>
      </w:pPr>
      <w:r>
        <w:rPr>
          <w:rFonts w:ascii="Times New Roman" w:cs="Times New Roman" w:eastAsia="Times New Roman" w:hAnsi="Times New Roman"/>
          <w:sz w:val="24"/>
          <w:szCs w:val="24"/>
        </w:rPr>
        <w:t xml:space="preserve">Meridian's current leadership response to its post-implementation problems can be characterized, at this point, as reactive and technically focused rather than transformational. Following the rise in claim denials, agency leadership issued an internal memo reminding staff to "use the correct templates" and scheduled a single refresher training session on the billing module. No parallel communication addressed why the new system's documentation structure matters clinically, no mechanism was created to identify which specific workflow steps were breaking down across disciplines, and no staff member outside the billing department was assigned ownership of the adoption problem as a whole.</w:t>
      </w:r>
    </w:p>
    <w:p>
      <w:pPr>
        <w:spacing w:line="480" w:lineRule="auto"/>
        <w:ind w:firstLine="720"/>
        <w:jc w:val="left"/>
      </w:pPr>
      <w:r>
        <w:rPr>
          <w:rFonts w:ascii="Times New Roman" w:cs="Times New Roman" w:eastAsia="Times New Roman" w:hAnsi="Times New Roman"/>
          <w:sz w:val="24"/>
          <w:szCs w:val="24"/>
        </w:rPr>
        <w:t xml:space="preserve">Evaluated against transformational leadership theory, this response falls short in a specific and identifiable way. Transformational leadership is distinguished from transactional leadership by its reliance on inspiring a shared vision and building individual staff commitment to that vision, rather than relying on directives and compliance monitoring alone; a systematic review of transformational leadership's effects in healthcare settings found it to be a consistent, measurable driver of staff organisational commitment, which is directly relevant to adoption of a new clinical system that depends on staff choosing to use it correctly rather than being policed into doing so (Xiong et al., 2023). Meridian's memo-and-refresher-training response is a transactional intervention: it tells staff what to do differently without building the shared understanding of why the change matters or addressing the specific obstacles different roles are encountering.</w:t>
      </w:r>
    </w:p>
    <w:p>
      <w:pPr>
        <w:spacing w:line="480" w:lineRule="auto"/>
        <w:ind w:firstLine="720"/>
        <w:jc w:val="left"/>
      </w:pPr>
      <w:r>
        <w:rPr>
          <w:rFonts w:ascii="Times New Roman" w:cs="Times New Roman" w:eastAsia="Times New Roman" w:hAnsi="Times New Roman"/>
          <w:sz w:val="24"/>
          <w:szCs w:val="24"/>
        </w:rPr>
        <w:t xml:space="preserve">A structured change management lens makes the same gap visible from a different angle. A systematic review of change management models applied across healthcare settings consistently identifies a sequence of steps, establishing urgency, forming a coalition that includes frontline representation, communicating a clear vision, and removing specific obstacles staff identify, as the elements most associated with successful technology and process adoption (Harrison et al., 2021). Measured against that sequence, Meridian has only partially completed the first step: urgency exists because of the rising denial rate, but no cross-disciplinary coalition has been formed, no vision beyond "use the system correctly" has been communicated, and no mechanism exists for frontline staff, including the crisis team clinicians most affected by the template mismatch, to surface the specific obstacles they are encountering. This gap between what the change management literature identifies as necessary and what Meridian's leadership has actually done is the central leadership failure this case study addresses, and it is the starting point for the Leadership Strategy proposed later in this analysis.</w:t>
      </w:r>
    </w:p>
    <w:p>
      <w:pPr>
        <w:keepNext/>
        <w:spacing w:before="240" w:line="480"/>
        <w:jc w:val="center"/>
      </w:pPr>
      <w:r>
        <w:rPr>
          <w:rFonts w:ascii="Times New Roman" w:cs="Times New Roman" w:eastAsia="Times New Roman" w:hAnsi="Times New Roman"/>
          <w:b/>
          <w:bCs/>
          <w:sz w:val="24"/>
          <w:szCs w:val="24"/>
        </w:rPr>
        <w:t xml:space="preserve">Healthcare Billing and Coding</w:t>
      </w:r>
    </w:p>
    <w:p>
      <w:pPr>
        <w:keepNext/>
        <w:spacing w:before="120" w:line="480"/>
        <w:jc w:val="left"/>
      </w:pPr>
      <w:r>
        <w:rPr>
          <w:rFonts w:ascii="Times New Roman" w:cs="Times New Roman" w:eastAsia="Times New Roman" w:hAnsi="Times New Roman"/>
          <w:b/>
          <w:bCs/>
          <w:sz w:val="24"/>
          <w:szCs w:val="24"/>
        </w:rPr>
        <w:t xml:space="preserve">ICD-10-CM and CPT/HCPCS Coding Accuracy</w:t>
      </w:r>
    </w:p>
    <w:p>
      <w:pPr>
        <w:spacing w:line="480" w:lineRule="auto"/>
        <w:ind w:firstLine="720"/>
        <w:jc w:val="left"/>
      </w:pPr>
      <w:r>
        <w:rPr>
          <w:rFonts w:ascii="Times New Roman" w:cs="Times New Roman" w:eastAsia="Times New Roman" w:hAnsi="Times New Roman"/>
          <w:sz w:val="24"/>
          <w:szCs w:val="24"/>
        </w:rPr>
        <w:t xml:space="preserve">M.T.'s diagnostic record requires ICD-10-CM specificity that a general-purpose template does not prompt for by default: schizoaffective disorder, bipolar type, coded correctly to reflect the bipolar subtype rather than a less specific schizoaffective disorder code, alongside a stimulant use disorder code reflecting early remission status rather than an active-use code. Coding to this level of specificity matters beyond administrative accuracy; it is the diagnostic basis payers use to evaluate whether a billed service was medically necessary for the condition described. The crisis contact miscoding identified in Meridian's audit compounds this risk at the service-code level: case management, psychotherapy, and crisis intervention are billed under distinct CPT and HCPCS codes that reflect materially different service intensity and clinical content, and billing a crisis intervention encounter under a routine outpatient evaluation and management code both understates the service actually delivered and creates a documentation-to-billing mismatch that a payer audit would flag immediately.</w:t>
      </w:r>
    </w:p>
    <w:p>
      <w:pPr>
        <w:keepNext/>
        <w:spacing w:before="120" w:line="480"/>
        <w:jc w:val="left"/>
      </w:pPr>
      <w:r>
        <w:rPr>
          <w:rFonts w:ascii="Times New Roman" w:cs="Times New Roman" w:eastAsia="Times New Roman" w:hAnsi="Times New Roman"/>
          <w:b/>
          <w:bCs/>
          <w:sz w:val="24"/>
          <w:szCs w:val="24"/>
        </w:rPr>
        <w:t xml:space="preserve">Medical Necessity Documentation and Reimbursement Mechanics</w:t>
      </w:r>
    </w:p>
    <w:p>
      <w:pPr>
        <w:spacing w:line="480" w:lineRule="auto"/>
        <w:ind w:firstLine="720"/>
        <w:jc w:val="left"/>
      </w:pPr>
      <w:r>
        <w:rPr>
          <w:rFonts w:ascii="Times New Roman" w:cs="Times New Roman" w:eastAsia="Times New Roman" w:hAnsi="Times New Roman"/>
          <w:sz w:val="24"/>
          <w:szCs w:val="24"/>
        </w:rPr>
        <w:t xml:space="preserve">Medical necessity documentation is the clinical narrative that justifies a billed code to a payer: it must demonstrate that the specific service billed was clinically indicated for the specific diagnosis coded, at the specific intensity delivered. In M.T.'s crisis contact, the clinical content of the note, a crisis-level psychiatric presentation requiring de-escalation and safety assessment, actually supports the correct crisis intervention code; the problem is not that the documentation is clinically inadequate, but that the template used did not route that documentation into the billing workflow correctly. This is an important distinction for Meridian's leadership to recognize, because it points toward a workflow and training fix rather than a punitive response targeting the clinician's clinical judgment. Meridian bills primarily on a fee-for-service basis to Medicaid and a small number of commercial payers, with case management and the mobile crisis team's services billed under time-based and encounter-based codes respectively; this reimbursement structure means that every miscoded or under-documented encounter is a direct, traceable revenue loss rather than an abstract quality concern, and it is also the reimbursement structure the agency's Leadership Strategy, presented later, must work within and, over time, move beyond.</w:t>
      </w:r>
    </w:p>
    <w:p>
      <w:pPr>
        <w:keepNext/>
        <w:spacing w:before="120" w:line="480"/>
        <w:jc w:val="left"/>
      </w:pPr>
      <w:r>
        <w:rPr>
          <w:rFonts w:ascii="Times New Roman" w:cs="Times New Roman" w:eastAsia="Times New Roman" w:hAnsi="Times New Roman"/>
          <w:b/>
          <w:bCs/>
          <w:sz w:val="24"/>
          <w:szCs w:val="24"/>
        </w:rPr>
        <w:t xml:space="preserve">Claim Denials and Audit Readiness</w:t>
      </w:r>
    </w:p>
    <w:p>
      <w:pPr>
        <w:spacing w:line="480" w:lineRule="auto"/>
        <w:ind w:firstLine="720"/>
        <w:jc w:val="left"/>
      </w:pPr>
      <w:r>
        <w:rPr>
          <w:rFonts w:ascii="Times New Roman" w:cs="Times New Roman" w:eastAsia="Times New Roman" w:hAnsi="Times New Roman"/>
          <w:sz w:val="24"/>
          <w:szCs w:val="24"/>
        </w:rPr>
        <w:t xml:space="preserve">Meridian's internal billing audit identified a claim denial rate that has risen notably in the seven months since go-live, concentrated in three categories: crisis-service miscoding of the kind described above, missing or incomplete medical necessity narratives for case management encounters billed under time-based codes without a corresponding documented time entry, and claims submitted against expired or improperly tracked consent and authorization records. This denial pattern is not evidence of fraudulent billing; it is consistent with what the literature on EHR implementation identifies as a common post-go-live phenomenon, in which documentation habits formed under a legacy system persist inside a new system's different structure until workflow and training catch up to the technology change (Jung et al., 2021). Audit readiness, Meridian's ability to produce a defensible documentation and consent trail if a payer or regulator conducted a formal audit, is currently compromised specifically by the scanned, non-structured consent record described in the Case Background: a structured, system-tracked consent field would be discoverable and verifiable in an audit in a way a scanned document dropped into a general file is not. Closing this audit-readiness gap, alongside the coding and medical necessity issues above, is a defined, measurable component of the Leadership Strategy proposed in this case study.</w:t>
      </w:r>
    </w:p>
    <w:p>
      <w:pPr>
        <w:keepNext/>
        <w:spacing w:before="240" w:line="480"/>
        <w:jc w:val="center"/>
      </w:pPr>
      <w:r>
        <w:rPr>
          <w:rFonts w:ascii="Times New Roman" w:cs="Times New Roman" w:eastAsia="Times New Roman" w:hAnsi="Times New Roman"/>
          <w:b/>
          <w:bCs/>
          <w:sz w:val="24"/>
          <w:szCs w:val="24"/>
        </w:rPr>
        <w:t xml:space="preserve">Ethical and Regulatory Compliance</w:t>
      </w:r>
    </w:p>
    <w:p>
      <w:pPr>
        <w:keepNext/>
        <w:spacing w:before="120" w:line="480"/>
        <w:jc w:val="left"/>
      </w:pPr>
      <w:r>
        <w:rPr>
          <w:rFonts w:ascii="Times New Roman" w:cs="Times New Roman" w:eastAsia="Times New Roman" w:hAnsi="Times New Roman"/>
          <w:b/>
          <w:bCs/>
          <w:sz w:val="24"/>
          <w:szCs w:val="24"/>
        </w:rPr>
        <w:t xml:space="preserve">HIPAA Privacy and Security Rule Compliance</w:t>
      </w:r>
    </w:p>
    <w:p>
      <w:pPr>
        <w:spacing w:line="480" w:lineRule="auto"/>
        <w:ind w:firstLine="720"/>
        <w:jc w:val="left"/>
      </w:pPr>
      <w:r>
        <w:rPr>
          <w:rFonts w:ascii="Times New Roman" w:cs="Times New Roman" w:eastAsia="Times New Roman" w:hAnsi="Times New Roman"/>
          <w:sz w:val="24"/>
          <w:szCs w:val="24"/>
        </w:rPr>
        <w:t xml:space="preserve">The consent lapse in M.T.'s case sits at the intersection of two distinct regulatory frameworks that Meridian's leadership must treat separately rather than as a single generic "HIPAA issue." The HIPAA Privacy Rule governs the confidentiality of M.T.'s protected health information generally, including the conditions under which Meridian may disclose treatment-compliance information to the diversion court; care coordination disclosures of this kind are permitted under HIPAA when properly authorized, but the authorization itself must be current and the disclosure must be limited to what the specific authorization covers (Office for Civil Rights, 2023). The HIPAA Security Rule, separately, governs the technical and administrative safeguards protecting that information inside Meridian's new integrated platform, including access controls determining which staff roles can view which fields, an area Meridian's leadership has not yet formally reviewed since the go-live despite the platform consolidating data that previously lived in three separately access-controlled systems.</w:t>
      </w:r>
    </w:p>
    <w:p>
      <w:pPr>
        <w:keepNext/>
        <w:spacing w:before="120" w:line="480"/>
        <w:jc w:val="left"/>
      </w:pPr>
      <w:r>
        <w:rPr>
          <w:rFonts w:ascii="Times New Roman" w:cs="Times New Roman" w:eastAsia="Times New Roman" w:hAnsi="Times New Roman"/>
          <w:b/>
          <w:bCs/>
          <w:sz w:val="24"/>
          <w:szCs w:val="24"/>
        </w:rPr>
        <w:t xml:space="preserve">Beyond HIPAA: 42 CFR Part 2 and Informed Consent</w:t>
      </w:r>
    </w:p>
    <w:p>
      <w:pPr>
        <w:spacing w:line="480" w:lineRule="auto"/>
        <w:ind w:firstLine="720"/>
        <w:jc w:val="left"/>
      </w:pPr>
      <w:r>
        <w:rPr>
          <w:rFonts w:ascii="Times New Roman" w:cs="Times New Roman" w:eastAsia="Times New Roman" w:hAnsi="Times New Roman"/>
          <w:sz w:val="24"/>
          <w:szCs w:val="24"/>
        </w:rPr>
        <w:t xml:space="preserve">Because M.T.'s record includes a co-occurring substance use disorder, Meridian's compliance obligations extend beyond HIPAA to 42 CFR Part 2, the federal regulation governing confidentiality of substance use disorder treatment records, which historically has imposed stricter, more specific consent requirements than HIPAA alone for disclosures of this category of information, including disclosures to criminal justice entities such as a diversion court (Medicaid and CHIP Payment and Access Commission, 2018). A 2024 update to the Part 2 regulations permits a single, properly executed consent to cover future treatment, payment, and care coordination disclosures, which simplifies the operational burden of obtaining repeated consents, but it does not remove the obligation to ensure any such consent is current, specific about what it authorizes, and tracked in a way that prevents exactly the kind of silent expiration that occurred in M.T.'s case. Informed consent, more broadly, requires that M.T. actually understands what information is being shared with the diversion court and for what purpose, not merely that a signed form exists in the record; a scanned, unstructured consent document is a weaker safeguard for this understanding than a structured consent workflow that prompts renewal conversations at defined intervals.</w:t>
      </w:r>
    </w:p>
    <w:p>
      <w:pPr>
        <w:keepNext/>
        <w:spacing w:before="120" w:line="480"/>
        <w:jc w:val="left"/>
      </w:pPr>
      <w:r>
        <w:rPr>
          <w:rFonts w:ascii="Times New Roman" w:cs="Times New Roman" w:eastAsia="Times New Roman" w:hAnsi="Times New Roman"/>
          <w:b/>
          <w:bCs/>
          <w:sz w:val="24"/>
          <w:szCs w:val="24"/>
        </w:rPr>
        <w:t xml:space="preserve">Fraud, Waste, and Abuse</w:t>
      </w:r>
    </w:p>
    <w:p>
      <w:pPr>
        <w:spacing w:line="480" w:lineRule="auto"/>
        <w:ind w:firstLine="720"/>
        <w:jc w:val="left"/>
      </w:pPr>
      <w:r>
        <w:rPr>
          <w:rFonts w:ascii="Times New Roman" w:cs="Times New Roman" w:eastAsia="Times New Roman" w:hAnsi="Times New Roman"/>
          <w:sz w:val="24"/>
          <w:szCs w:val="24"/>
        </w:rPr>
        <w:t xml:space="preserve">Fraud, waste, and abuse are three distinct concepts, and Meridian's current exposure sits almost entirely in the latter two rather than the first. Fraud requires intentional misrepresentation; nothing in this case suggests Meridian's staff intentionally miscoded M.T.'s crisis encounter. Abuse describes practices inconsistent with accepted billing and documentation standards even absent intent to defraud, which does describe the crisis-coding mismatch and the consent-tracking failure. Waste describes inefficient or unnecessary use of resources, which describes the missed medication review that plausibly contributed to continued acute-care utilization Meridian ultimately bears some downstream cost for, through both direct billing losses and the broader financial strain repeated hospitalizations and ED visits place on a safety-net behavioral health agency's payer mix. The U.S. Department of Health and Human Services Office of Inspector General maintains compliance program guidance specifically oriented toward helping healthcare organizations build internal controls that catch abuse and waste risks like these before they accumulate into a pattern serious enough to draw external audit attention (U.S. Department of Health and Human Services, Office of Inspector General, 2026), and that guidance is a reasonable foundation for the compliance-focused elements of the Leadership Strategy proposed below.</w:t>
      </w:r>
    </w:p>
    <w:p>
      <w:pPr>
        <w:keepNext/>
        <w:spacing w:before="120" w:line="480"/>
        <w:jc w:val="left"/>
      </w:pPr>
      <w:r>
        <w:rPr>
          <w:rFonts w:ascii="Times New Roman" w:cs="Times New Roman" w:eastAsia="Times New Roman" w:hAnsi="Times New Roman"/>
          <w:b/>
          <w:bCs/>
          <w:sz w:val="24"/>
          <w:szCs w:val="24"/>
        </w:rPr>
        <w:t xml:space="preserve">Accreditation Standards</w:t>
      </w:r>
    </w:p>
    <w:p>
      <w:pPr>
        <w:spacing w:line="480" w:lineRule="auto"/>
        <w:ind w:firstLine="720"/>
        <w:jc w:val="left"/>
      </w:pPr>
      <w:r>
        <w:rPr>
          <w:rFonts w:ascii="Times New Roman" w:cs="Times New Roman" w:eastAsia="Times New Roman" w:hAnsi="Times New Roman"/>
          <w:sz w:val="24"/>
          <w:szCs w:val="24"/>
        </w:rPr>
        <w:t xml:space="preserve">Meridian is not currently pursuing Certified Community Behavioral Health Clinic (CCBHC) certification, but the certification criteria published by the Substance Abuse and Mental Health Services Administration function as a useful quasi-accreditation benchmark for community behavioral health agencies more broadly, because they specify concrete staffing, care coordination, and quality reporting standards rather than general principles (Substance Abuse and Mental Health Services Administration, 2023). Measured against those criteria, Meridian's current care coordination performance, specifically its inability to reliably surface a crisis contact to the responsible prescriber, would not meet the standard the CCBHC model sets for coordinated care across service lines, which is a useful external reference point for the leadership strategy's quality assurance component.</w:t>
      </w:r>
    </w:p>
    <w:p>
      <w:pPr>
        <w:keepNext/>
        <w:spacing w:before="240" w:line="480"/>
        <w:jc w:val="center"/>
      </w:pPr>
      <w:r>
        <w:rPr>
          <w:rFonts w:ascii="Times New Roman" w:cs="Times New Roman" w:eastAsia="Times New Roman" w:hAnsi="Times New Roman"/>
          <w:b/>
          <w:bCs/>
          <w:sz w:val="24"/>
          <w:szCs w:val="24"/>
        </w:rPr>
        <w:t xml:space="preserve">Role of Information and Communication Technology</w:t>
      </w:r>
    </w:p>
    <w:p>
      <w:pPr>
        <w:spacing w:line="480" w:lineRule="auto"/>
        <w:ind w:firstLine="720"/>
        <w:jc w:val="left"/>
      </w:pPr>
      <w:r>
        <w:rPr>
          <w:rFonts w:ascii="Times New Roman" w:cs="Times New Roman" w:eastAsia="Times New Roman" w:hAnsi="Times New Roman"/>
          <w:sz w:val="24"/>
          <w:szCs w:val="24"/>
        </w:rPr>
        <w:t xml:space="preserve">The nine ICT functions addressed in this section are evaluated specifically against what is and is not currently working at Meridian, rather than as generic descriptions of software capability.</w:t>
      </w:r>
    </w:p>
    <w:p>
      <w:pPr>
        <w:spacing w:line="480" w:lineRule="auto"/>
        <w:ind w:firstLine="720"/>
        <w:jc w:val="left"/>
      </w:pPr>
      <w:r>
        <w:rPr>
          <w:rFonts w:ascii="Times New Roman" w:cs="Times New Roman" w:eastAsia="Times New Roman" w:hAnsi="Times New Roman"/>
          <w:sz w:val="24"/>
          <w:szCs w:val="24"/>
        </w:rPr>
        <w:t xml:space="preserve">The electronic health record itself is functioning technically, data entry, retrieval, and storage all operate as designed, but its clinical decision support function, the automated prompts and alerts meant to guide correct documentation and flag missed follow-ups, is only partially configured: the consent-renewal alert exists but failed because the consent was entered outside the structured field the alert depends on, and no equivalent alert currently exists to flag an unreviewed crisis contact for the responsible prescriber. Care coordination, the platform's core intended value over the three legacy systems it replaced, is the function most directly implicated in M.T.'s missed medication review, because the platform's technical ability to make a note visible across disciplines only produces coordinated care if staff enter that note in the format the system is built to surface, which is a workflow and training gap rather than a technology limitation. Telebehavioral health, delivered through the platform's telehealth module, is used regularly for M.T.'s routine outpatient psychiatry appointments and has not itself been implicated in the problems described in this case, though the same structured-documentation gap affecting in-person encounters applies equally to telehealth session notes.</w:t>
      </w:r>
    </w:p>
    <w:p>
      <w:pPr>
        <w:spacing w:line="480" w:lineRule="auto"/>
        <w:ind w:firstLine="720"/>
        <w:jc w:val="left"/>
      </w:pPr>
      <w:r>
        <w:rPr>
          <w:rFonts w:ascii="Times New Roman" w:cs="Times New Roman" w:eastAsia="Times New Roman" w:hAnsi="Times New Roman"/>
          <w:sz w:val="24"/>
          <w:szCs w:val="24"/>
        </w:rPr>
        <w:t xml:space="preserve">Secure communication between Meridian's crisis team, outpatient team, and the diversion court liaison currently relies on a combination of the platform's internal messaging and, for the court liaison specifically, a separate email channel outside the platform entirely, which is itself a Security Rule consideration given that court-related communications involve protected health information the platform's access controls do not govern once a message leaves it. Population health management and data analytics are both underused: Meridian's reporting dashboard could surface agency-wide patterns, such as the specific rise in crisis-service miscoding identified in the recent audit, in near real time rather than only through a quarterly manual audit, but no staff member has been assigned to monitor the dashboard's reporting functions on an ongoing basis. Quality improvement and risk management are connected to this same gap: without routine dashboard monitoring, problems like M.T.'s missed medication review are discovered reactively, after a compliance report or audit flags them, rather than proactively, through a continuous quality monitoring process the platform is technically capable of supporting. Revenue cycle management, finally, is the function most directly damaged by the combination of the above: the platform's billing and claims engine is only as accurate as the documentation feeding it, and the rising denial rate described in the Billing and Coding section is a direct downstream consequence of the clinical decision support, care coordination, and quality monitoring gaps described throughout this section, not a separate problem requiring a separate fix.</w:t>
      </w:r>
    </w:p>
    <w:p>
      <w:pPr>
        <w:keepNext/>
        <w:spacing w:before="240" w:line="480"/>
        <w:jc w:val="center"/>
      </w:pPr>
      <w:r>
        <w:rPr>
          <w:rFonts w:ascii="Times New Roman" w:cs="Times New Roman" w:eastAsia="Times New Roman" w:hAnsi="Times New Roman"/>
          <w:b/>
          <w:bCs/>
          <w:sz w:val="24"/>
          <w:szCs w:val="24"/>
        </w:rPr>
        <w:t xml:space="preserve">Leadership Strategy</w:t>
      </w:r>
    </w:p>
    <w:p>
      <w:pPr>
        <w:spacing w:line="480" w:lineRule="auto"/>
        <w:ind w:firstLine="720"/>
        <w:jc w:val="left"/>
      </w:pPr>
      <w:r>
        <w:rPr>
          <w:rFonts w:ascii="Times New Roman" w:cs="Times New Roman" w:eastAsia="Times New Roman" w:hAnsi="Times New Roman"/>
          <w:sz w:val="24"/>
          <w:szCs w:val="24"/>
        </w:rPr>
        <w:t xml:space="preserve">The strategy proposed here sequences Meridian's response according to the same change management framework used to evaluate current leadership above, rather than presenting the assignment's eight required elements as disconnected initiatives.</w:t>
      </w:r>
    </w:p>
    <w:p>
      <w:pPr>
        <w:spacing w:line="480" w:lineRule="auto"/>
        <w:ind w:firstLine="720"/>
        <w:jc w:val="left"/>
      </w:pPr>
      <w:r>
        <w:rPr>
          <w:rFonts w:ascii="Times New Roman" w:cs="Times New Roman" w:eastAsia="Times New Roman" w:hAnsi="Times New Roman"/>
          <w:sz w:val="24"/>
          <w:szCs w:val="24"/>
        </w:rPr>
        <w:t xml:space="preserve">Staff education and change management come first, because every subsequent element depends on staff understanding both the new workflow and the reason for it. This means moving beyond the single refresher training already delivered to a structured, role-specific education series, separate sessions for crisis team clinicians, case managers, and prescribers, each addressing the specific documentation habit most relevant to that role's contribution to the problems identified in this case, paired with leadership communication that frames the change as a patient-safety and care-quality issue (the missed medication review) rather than only a billing compliance issue. This framing matters because transformational leadership's documented effect on staff commitment depends on staff seeing a shared, meaningful purpose behind the change, not only a compliance directive (Xiong et al., 2023).</w:t>
      </w:r>
    </w:p>
    <w:p>
      <w:pPr>
        <w:spacing w:line="480" w:lineRule="auto"/>
        <w:ind w:firstLine="720"/>
        <w:jc w:val="left"/>
      </w:pPr>
      <w:r>
        <w:rPr>
          <w:rFonts w:ascii="Times New Roman" w:cs="Times New Roman" w:eastAsia="Times New Roman" w:hAnsi="Times New Roman"/>
          <w:sz w:val="24"/>
          <w:szCs w:val="24"/>
        </w:rPr>
        <w:t xml:space="preserve">Interdisciplinary collaboration and quality assurance follow directly: a standing cross-disciplinary workgroup, including a crisis team representative, a case manager, a prescriber, and billing staff, meeting on a defined cadence to review flagged documentation and coding patterns surfaced by the reporting dashboard, operationalizes the coalition-building step the change management literature identifies as necessary and gives frontline staff the mechanism to surface workflow obstacles that Meridian's current reactive, memo-based approach lacks (Harrison et al., 2021). This workgroup is also where the quality assurance function lives operationally: reviewing dashboard-flagged cases like M.T.'s on a rolling basis rather than only during a quarterly formal audit.</w:t>
      </w:r>
    </w:p>
    <w:p>
      <w:pPr>
        <w:spacing w:line="480" w:lineRule="auto"/>
        <w:ind w:firstLine="720"/>
        <w:jc w:val="left"/>
      </w:pPr>
      <w:r>
        <w:rPr>
          <w:rFonts w:ascii="Times New Roman" w:cs="Times New Roman" w:eastAsia="Times New Roman" w:hAnsi="Times New Roman"/>
          <w:sz w:val="24"/>
          <w:szCs w:val="24"/>
        </w:rPr>
        <w:t xml:space="preserve">Performance metrics, financial sustainability, patient-centered care, and recidivism reduction are the strategy's accountability layer, and they should be measured together rather than separately, because they are causally connected in this case: reducing crisis-service miscoding and documentation gaps (a performance metric) directly reduces denied claims (financial sustainability), while improving care coordination so that a crisis contact reliably triggers a medication review (a patient-centered care improvement) is also the mechanism most likely to reduce M.T.'s future hospitalizations and ED visits (recidivism reduction). Approaching every follow-up and care-coordination interaction with cultural humility, treating each contact as an ongoing process of understanding the client's specific circumstances rather than an assumption of competence already achieved, is directly relevant to how Meridian's staff should be trained to conduct the kind of sensitive, diversion-court-linked coordination M.T.'s case requires (Tervalon &amp; Murray-García, 1998). Financial sustainability, over a longer horizon than this immediate corrective plan, should also include evaluating a shift toward value-based or care-coordination-specific reimbursement arrangements, which several behavioral health payers now offer specifically to fund the kind of care manager and coordination functions Meridian's fee-for-service structure does not currently reimburse directly (Rothrock et al., 2023).</w:t>
      </w:r>
    </w:p>
    <w:p>
      <w:pPr>
        <w:keepNext/>
        <w:spacing w:before="240" w:line="480"/>
        <w:jc w:val="center"/>
      </w:pPr>
      <w:r>
        <w:rPr>
          <w:rFonts w:ascii="Times New Roman" w:cs="Times New Roman" w:eastAsia="Times New Roman" w:hAnsi="Times New Roman"/>
          <w:b/>
          <w:bCs/>
          <w:sz w:val="24"/>
          <w:szCs w:val="24"/>
        </w:rPr>
        <w:t xml:space="preserve">Expected Outcomes and Scholarly Analysis</w:t>
      </w:r>
    </w:p>
    <w:p>
      <w:pPr>
        <w:keepNext/>
        <w:spacing w:before="120" w:line="480"/>
        <w:jc w:val="left"/>
      </w:pPr>
      <w:r>
        <w:rPr>
          <w:rFonts w:ascii="Times New Roman" w:cs="Times New Roman" w:eastAsia="Times New Roman" w:hAnsi="Times New Roman"/>
          <w:b/>
          <w:bCs/>
          <w:sz w:val="24"/>
          <w:szCs w:val="24"/>
        </w:rPr>
        <w:t xml:space="preserve">Expected Outcomes</w:t>
      </w:r>
    </w:p>
    <w:p>
      <w:pPr>
        <w:spacing w:line="480" w:lineRule="auto"/>
        <w:ind w:firstLine="720"/>
        <w:jc w:val="left"/>
      </w:pPr>
      <w:r>
        <w:rPr>
          <w:rFonts w:ascii="Times New Roman" w:cs="Times New Roman" w:eastAsia="Times New Roman" w:hAnsi="Times New Roman"/>
          <w:sz w:val="24"/>
          <w:szCs w:val="24"/>
        </w:rPr>
        <w:t xml:space="preserve">If implemented as sequenced above, this strategy should produce measurable change along four tracked indicators within a 12-month window: a reduction in the agency-wide claim denial rate toward its pre-implementation baseline, specifically through a reduction in crisis-service miscoding and medical-necessity documentation gaps; a documented reduction in the rate of consent records stored outside the platform's structured tracking field, verified through the quality assurance workgroup's rolling audit function; improved documentation of crisis-to-prescriber hand-offs, measured as the percentage of crisis contacts that trigger a documented clinical follow-up within a defined window; and, for M.T. specifically alongside the broader caseload sharing similar risk profiles, a reduction in avoidable emergency department visits and hospitalizations tied to missed follow-up, tracked against each client's own prior-year utilization baseline rather than a single agency-wide average that would obscure individual improvement. This expectation is not speculative: a national evaluation of the Certified Community Behavioral Health Clinic demonstration found that agencies delivering more consistently coordinated behavioral health care produced measurable reductions in emergency department visits and hospitalizations among comparable Medicaid-covered populations, which supports treating improved care coordination, rather than clinical intervention alone, as a legitimate lever for reducing acute-care utilization in a caseload like M.T.'s (Brown et al., 2023).</w:t>
      </w:r>
    </w:p>
    <w:p>
      <w:pPr>
        <w:keepNext/>
        <w:spacing w:before="120" w:line="480"/>
        <w:jc w:val="left"/>
      </w:pPr>
      <w:r>
        <w:rPr>
          <w:rFonts w:ascii="Times New Roman" w:cs="Times New Roman" w:eastAsia="Times New Roman" w:hAnsi="Times New Roman"/>
          <w:b/>
          <w:bCs/>
          <w:sz w:val="24"/>
          <w:szCs w:val="24"/>
        </w:rPr>
        <w:t xml:space="preserve">Scholarly Analysis</w:t>
      </w:r>
    </w:p>
    <w:p>
      <w:pPr>
        <w:spacing w:line="480" w:lineRule="auto"/>
        <w:ind w:firstLine="720"/>
        <w:jc w:val="left"/>
      </w:pPr>
      <w:r>
        <w:rPr>
          <w:rFonts w:ascii="Times New Roman" w:cs="Times New Roman" w:eastAsia="Times New Roman" w:hAnsi="Times New Roman"/>
          <w:sz w:val="24"/>
          <w:szCs w:val="24"/>
        </w:rPr>
        <w:t xml:space="preserve">The case presented here illustrates a pattern the literature on healthcare technology adoption and change management converges on from several directions: technology alone does not produce the outcomes it is capable of producing, and the gap between a system's technical capability and its realized clinical and financial benefit is a leadership and organizational-change problem, not a software problem. Jung et al. (2021) found this pattern specifically in behavioral hospital EHR implementations, identifying workflow and documentation-habit misalignment, not system functionality, as the dominant barrier clinicians report during the post-implementation period, which is precisely the mechanism behind M.T.'s missed medication review. Harrison et al.'s (2021) systematic review of change management models supplies the structural explanation for why Meridian's response so far has not resolved this: the agency has completed only the earliest step of the sequence the literature identifies as necessary for sustained adoption, without the coalition-building, vision communication, or obstacle-removal steps that convert urgency into actual behavior change. Xiong et al. (2023) connects this organizational-change lens to the specific leadership style most associated with successful staff buy-in, transformational rather than transactional leadership, which explains why Meridian's memo-and-refresher-training response, a transactional intervention by definition, has not produced the documentation consistency the agency needs.</w:t>
      </w:r>
    </w:p>
    <w:p>
      <w:pPr>
        <w:spacing w:line="480" w:lineRule="auto"/>
        <w:ind w:firstLine="720"/>
        <w:jc w:val="left"/>
      </w:pPr>
      <w:r>
        <w:rPr>
          <w:rFonts w:ascii="Times New Roman" w:cs="Times New Roman" w:eastAsia="Times New Roman" w:hAnsi="Times New Roman"/>
          <w:sz w:val="24"/>
          <w:szCs w:val="24"/>
        </w:rPr>
        <w:t xml:space="preserve">The billing and compliance consequences documented in this case are best understood as the measurable downstream signal of that underlying leadership and adoption gap, rather than as independent problems requiring independent fixes. Falconer et al.'s (2018) systematic review of care coordination technology found that realized benefit from these systems depends on the same organizational factors, consistent workflow design and staff engagement, that this case's analysis identifies as missing at Meridian, which is further evidence that the strategy proposed above, sequencing staff education and interdisciplinary collaboration ahead of metrics and sustainability, follows the direction the evidence base points rather than an arbitrary ordering choice. Taken together, the literature and the case converge on a single conclusion: Meridian's billing, compliance, and care-coordination problems will not resolve through further technical configuration or punitive compliance messaging alone; they require the kind of sustained, transformational, change-management-grounded leadership strategy this case study has outlined, applied consistently over the twelve-month window the Expected Outcomes above are measured against.</w:t>
      </w:r>
    </w:p>
    <w:p>
      <w:r>
        <w:br w:type="page"/>
      </w:r>
    </w:p>
    <w:p>
      <w:pPr>
        <w:spacing w:line="480"/>
        <w:jc w:val="center"/>
      </w:pPr>
      <w:r>
        <w:rPr>
          <w:rFonts w:ascii="Times New Roman" w:cs="Times New Roman" w:eastAsia="Times New Roman" w:hAnsi="Times New Roman"/>
          <w:b/>
          <w:bCs/>
          <w:sz w:val="24"/>
          <w:szCs w:val="24"/>
        </w:rPr>
        <w:t xml:space="preserve">References</w:t>
      </w:r>
    </w:p>
    <w:p>
      <w:pPr>
        <w:spacing w:line="480"/>
        <w:ind w:left="720" w:hanging="720"/>
      </w:pPr>
      <w:r>
        <w:rPr>
          <w:rFonts w:ascii="Times New Roman" w:cs="Times New Roman" w:eastAsia="Times New Roman" w:hAnsi="Times New Roman"/>
          <w:sz w:val="24"/>
          <w:szCs w:val="24"/>
        </w:rPr>
        <w:t xml:space="preserve">Brown, J. D., Stewart, K. A., Miller, R. L., Dehus, E., Rose, T., DeWitt, K., Chapman, R., Wishon, A., Breslau, J., Dey, J., &amp; Jacobus-Kantor, L. (2023). Impacts of the Certified Community Behavioral Health Clinic Demonstration on emergency department visits and hospitalizations. </w:t>
      </w:r>
      <w:r>
        <w:rPr>
          <w:rFonts w:ascii="Times New Roman" w:cs="Times New Roman" w:eastAsia="Times New Roman" w:hAnsi="Times New Roman"/>
          <w:i/>
          <w:iCs/>
          <w:sz w:val="24"/>
          <w:szCs w:val="24"/>
        </w:rPr>
        <w:t xml:space="preserve">Psychiatric Services, 74</w:t>
      </w:r>
      <w:r>
        <w:rPr>
          <w:rFonts w:ascii="Times New Roman" w:cs="Times New Roman" w:eastAsia="Times New Roman" w:hAnsi="Times New Roman"/>
          <w:sz w:val="24"/>
          <w:szCs w:val="24"/>
        </w:rPr>
        <w:t xml:space="preserve">(9), 911-920. https://doi.org/10.1176/appi.ps.20220410</w:t>
      </w:r>
    </w:p>
    <w:p>
      <w:pPr>
        <w:spacing w:line="480"/>
        <w:ind w:left="720" w:hanging="720"/>
      </w:pPr>
      <w:r>
        <w:rPr>
          <w:rFonts w:ascii="Times New Roman" w:cs="Times New Roman" w:eastAsia="Times New Roman" w:hAnsi="Times New Roman"/>
          <w:sz w:val="24"/>
          <w:szCs w:val="24"/>
        </w:rPr>
        <w:t xml:space="preserve">Falconer, E., Kho, D., &amp; Docherty, J. P. (2018). Use of technology for care coordination initiatives for patients with mental health issues: A systematic literature review. </w:t>
      </w:r>
      <w:r>
        <w:rPr>
          <w:rFonts w:ascii="Times New Roman" w:cs="Times New Roman" w:eastAsia="Times New Roman" w:hAnsi="Times New Roman"/>
          <w:i/>
          <w:iCs/>
          <w:sz w:val="24"/>
          <w:szCs w:val="24"/>
        </w:rPr>
        <w:t xml:space="preserve">Neuropsychiatric Disease and Treatment, 14</w:t>
      </w:r>
      <w:r>
        <w:rPr>
          <w:rFonts w:ascii="Times New Roman" w:cs="Times New Roman" w:eastAsia="Times New Roman" w:hAnsi="Times New Roman"/>
          <w:sz w:val="24"/>
          <w:szCs w:val="24"/>
        </w:rPr>
        <w:t xml:space="preserve">, 2337-2349. https://doi.org/10.2147/NDT.S172810</w:t>
      </w:r>
    </w:p>
    <w:p>
      <w:pPr>
        <w:spacing w:line="480"/>
        <w:ind w:left="720" w:hanging="720"/>
      </w:pPr>
      <w:r>
        <w:rPr>
          <w:rFonts w:ascii="Times New Roman" w:cs="Times New Roman" w:eastAsia="Times New Roman" w:hAnsi="Times New Roman"/>
          <w:sz w:val="24"/>
          <w:szCs w:val="24"/>
        </w:rPr>
        <w:t xml:space="preserve">Harrison, R., Fischer, S., Walpola, R. L., Chauhan, A., Babalola, T., Mears, S., &amp; Le-Dao, H. (2021). Where do models for change management, improvement and implementation meet? A systematic review of the applications of change management models in healthcare. </w:t>
      </w:r>
      <w:r>
        <w:rPr>
          <w:rFonts w:ascii="Times New Roman" w:cs="Times New Roman" w:eastAsia="Times New Roman" w:hAnsi="Times New Roman"/>
          <w:i/>
          <w:iCs/>
          <w:sz w:val="24"/>
          <w:szCs w:val="24"/>
        </w:rPr>
        <w:t xml:space="preserve">Journal of Healthcare Leadership, 13</w:t>
      </w:r>
      <w:r>
        <w:rPr>
          <w:rFonts w:ascii="Times New Roman" w:cs="Times New Roman" w:eastAsia="Times New Roman" w:hAnsi="Times New Roman"/>
          <w:sz w:val="24"/>
          <w:szCs w:val="24"/>
        </w:rPr>
        <w:t xml:space="preserve">, 85-108. https://doi.org/10.2147/JHL.S289176</w:t>
      </w:r>
    </w:p>
    <w:p>
      <w:pPr>
        <w:spacing w:line="480"/>
        <w:ind w:left="720" w:hanging="720"/>
      </w:pPr>
      <w:r>
        <w:rPr>
          <w:rFonts w:ascii="Times New Roman" w:cs="Times New Roman" w:eastAsia="Times New Roman" w:hAnsi="Times New Roman"/>
          <w:sz w:val="24"/>
          <w:szCs w:val="24"/>
        </w:rPr>
        <w:t xml:space="preserve">Jung, S. Y., Hwang, H., Lee, K., Lee, D., Yoo, S., Lim, K., Lee, H.-Y., &amp; Kim, E. (2021). User perspectives on barriers and facilitators to the implementation of electronic health records in behavioral hospitals: Qualitative study. </w:t>
      </w:r>
      <w:r>
        <w:rPr>
          <w:rFonts w:ascii="Times New Roman" w:cs="Times New Roman" w:eastAsia="Times New Roman" w:hAnsi="Times New Roman"/>
          <w:i/>
          <w:iCs/>
          <w:sz w:val="24"/>
          <w:szCs w:val="24"/>
        </w:rPr>
        <w:t xml:space="preserve">JMIR Formative Research, 5</w:t>
      </w:r>
      <w:r>
        <w:rPr>
          <w:rFonts w:ascii="Times New Roman" w:cs="Times New Roman" w:eastAsia="Times New Roman" w:hAnsi="Times New Roman"/>
          <w:sz w:val="24"/>
          <w:szCs w:val="24"/>
        </w:rPr>
        <w:t xml:space="preserve">(4), e18764. https://doi.org/10.2196/18764</w:t>
      </w:r>
    </w:p>
    <w:p>
      <w:pPr>
        <w:spacing w:line="480"/>
        <w:ind w:left="720" w:hanging="720"/>
      </w:pPr>
      <w:r>
        <w:rPr>
          <w:rFonts w:ascii="Times New Roman" w:cs="Times New Roman" w:eastAsia="Times New Roman" w:hAnsi="Times New Roman"/>
          <w:sz w:val="24"/>
          <w:szCs w:val="24"/>
        </w:rPr>
        <w:t xml:space="preserve">Khalsa, H.-M. K., Denes, A. C., Pasini-Hill, D. M., Santelli, J. C., &amp; Baldessarini, R. J. (2018). Specialized police-based mental health crisis response: The first 10 years of Colorado's crisis intervention team implementation. </w:t>
      </w:r>
      <w:r>
        <w:rPr>
          <w:rFonts w:ascii="Times New Roman" w:cs="Times New Roman" w:eastAsia="Times New Roman" w:hAnsi="Times New Roman"/>
          <w:i/>
          <w:iCs/>
          <w:sz w:val="24"/>
          <w:szCs w:val="24"/>
        </w:rPr>
        <w:t xml:space="preserve">Psychiatric Services, 69</w:t>
      </w:r>
      <w:r>
        <w:rPr>
          <w:rFonts w:ascii="Times New Roman" w:cs="Times New Roman" w:eastAsia="Times New Roman" w:hAnsi="Times New Roman"/>
          <w:sz w:val="24"/>
          <w:szCs w:val="24"/>
        </w:rPr>
        <w:t xml:space="preserve">(2), 239-241. https://doi.org/10.1176/appi.ps.201700055</w:t>
      </w:r>
    </w:p>
    <w:p>
      <w:pPr>
        <w:spacing w:line="480"/>
        <w:ind w:left="720" w:hanging="720"/>
      </w:pPr>
      <w:r>
        <w:rPr>
          <w:rFonts w:ascii="Times New Roman" w:cs="Times New Roman" w:eastAsia="Times New Roman" w:hAnsi="Times New Roman"/>
          <w:sz w:val="24"/>
          <w:szCs w:val="24"/>
        </w:rPr>
        <w:t xml:space="preserve">Medicaid and CHIP Payment and Access Commission. (2018). </w:t>
      </w:r>
      <w:r>
        <w:rPr>
          <w:rFonts w:ascii="Times New Roman" w:cs="Times New Roman" w:eastAsia="Times New Roman" w:hAnsi="Times New Roman"/>
          <w:i/>
          <w:iCs/>
          <w:sz w:val="24"/>
          <w:szCs w:val="24"/>
        </w:rPr>
        <w:t xml:space="preserve">42 CFR Part 2: Substance use disorder treatment and integration</w:t>
      </w:r>
      <w:r>
        <w:rPr>
          <w:rFonts w:ascii="Times New Roman" w:cs="Times New Roman" w:eastAsia="Times New Roman" w:hAnsi="Times New Roman"/>
          <w:sz w:val="24"/>
          <w:szCs w:val="24"/>
        </w:rPr>
        <w:t xml:space="preserve">. https://www.macpac.gov/wp-content/uploads/2018/01/42-CFR-Part-2-Substance-Use-Disorder-Treatment-and-Integration.pdf</w:t>
      </w:r>
    </w:p>
    <w:p>
      <w:pPr>
        <w:spacing w:line="480"/>
        <w:ind w:left="720" w:hanging="720"/>
      </w:pPr>
      <w:r>
        <w:rPr>
          <w:rFonts w:ascii="Times New Roman" w:cs="Times New Roman" w:eastAsia="Times New Roman" w:hAnsi="Times New Roman"/>
          <w:sz w:val="24"/>
          <w:szCs w:val="24"/>
        </w:rPr>
        <w:t xml:space="preserve">Office for Civil Rights. (2023, February 27). </w:t>
      </w:r>
      <w:r>
        <w:rPr>
          <w:rFonts w:ascii="Times New Roman" w:cs="Times New Roman" w:eastAsia="Times New Roman" w:hAnsi="Times New Roman"/>
          <w:i/>
          <w:iCs/>
          <w:sz w:val="24"/>
          <w:szCs w:val="24"/>
        </w:rPr>
        <w:t xml:space="preserve">HIPAA privacy rule and care coordination</w:t>
      </w:r>
      <w:r>
        <w:rPr>
          <w:rFonts w:ascii="Times New Roman" w:cs="Times New Roman" w:eastAsia="Times New Roman" w:hAnsi="Times New Roman"/>
          <w:sz w:val="24"/>
          <w:szCs w:val="24"/>
        </w:rPr>
        <w:t xml:space="preserve">. U.S. Department of Health and Human Services. https://www.hhs.gov/hipaa/for-professionals/regulatory-initiatives/hipaa-care-coordination/index.html</w:t>
      </w:r>
    </w:p>
    <w:p>
      <w:pPr>
        <w:spacing w:line="480"/>
        <w:ind w:left="720" w:hanging="720"/>
      </w:pPr>
      <w:r>
        <w:rPr>
          <w:rFonts w:ascii="Times New Roman" w:cs="Times New Roman" w:eastAsia="Times New Roman" w:hAnsi="Times New Roman"/>
          <w:sz w:val="24"/>
          <w:szCs w:val="24"/>
        </w:rPr>
        <w:t xml:space="preserve">Rothrock, N., Bott, N., Douglas, S., McKune, E. W., Owings-Fonner, N., Ross, D., Stephens, K. A., Bard, D. E., Bobbitt, B. L., Childs, A. W., &amp; Wright, C. V. (2023). Understanding and preparing for value-based care: A primer for behavioral health providers. </w:t>
      </w:r>
      <w:r>
        <w:rPr>
          <w:rFonts w:ascii="Times New Roman" w:cs="Times New Roman" w:eastAsia="Times New Roman" w:hAnsi="Times New Roman"/>
          <w:i/>
          <w:iCs/>
          <w:sz w:val="24"/>
          <w:szCs w:val="24"/>
        </w:rPr>
        <w:t xml:space="preserve">Professional Psychology: Research and Practice.</w:t>
      </w:r>
      <w:r>
        <w:rPr>
          <w:rFonts w:ascii="Times New Roman" w:cs="Times New Roman" w:eastAsia="Times New Roman" w:hAnsi="Times New Roman"/>
          <w:sz w:val="24"/>
          <w:szCs w:val="24"/>
        </w:rPr>
        <w:t xml:space="preserve"> https://doi.org/10.1037/pro0000537</w:t>
      </w:r>
    </w:p>
    <w:p>
      <w:pPr>
        <w:spacing w:line="480"/>
        <w:ind w:left="720" w:hanging="720"/>
      </w:pPr>
      <w:r>
        <w:rPr>
          <w:rFonts w:ascii="Times New Roman" w:cs="Times New Roman" w:eastAsia="Times New Roman" w:hAnsi="Times New Roman"/>
          <w:sz w:val="24"/>
          <w:szCs w:val="24"/>
        </w:rPr>
        <w:t xml:space="preserve">Substance Abuse and Mental Health Services Administration. (2023). </w:t>
      </w:r>
      <w:r>
        <w:rPr>
          <w:rFonts w:ascii="Times New Roman" w:cs="Times New Roman" w:eastAsia="Times New Roman" w:hAnsi="Times New Roman"/>
          <w:i/>
          <w:iCs/>
          <w:sz w:val="24"/>
          <w:szCs w:val="24"/>
        </w:rPr>
        <w:t xml:space="preserve">Certified Community Behavioral Health Clinic certification criteria</w:t>
      </w:r>
      <w:r>
        <w:rPr>
          <w:rFonts w:ascii="Times New Roman" w:cs="Times New Roman" w:eastAsia="Times New Roman" w:hAnsi="Times New Roman"/>
          <w:sz w:val="24"/>
          <w:szCs w:val="24"/>
        </w:rPr>
        <w:t xml:space="preserve">. U.S. Department of Health and Human Services. https://www.samhsa.gov/communities/certified-community-behavioral-health-clinics/ccbhc-certification-criteria</w:t>
      </w:r>
    </w:p>
    <w:p>
      <w:pPr>
        <w:spacing w:line="480"/>
        <w:ind w:left="720" w:hanging="720"/>
      </w:pPr>
      <w:r>
        <w:rPr>
          <w:rFonts w:ascii="Times New Roman" w:cs="Times New Roman" w:eastAsia="Times New Roman" w:hAnsi="Times New Roman"/>
          <w:sz w:val="24"/>
          <w:szCs w:val="24"/>
        </w:rPr>
        <w:t xml:space="preserve">Tervalon, M., &amp; Murray-García, J. (1998). Cultural humility versus cultural competence: A critical distinction in defining physician training outcomes in multicultural education. </w:t>
      </w:r>
      <w:r>
        <w:rPr>
          <w:rFonts w:ascii="Times New Roman" w:cs="Times New Roman" w:eastAsia="Times New Roman" w:hAnsi="Times New Roman"/>
          <w:i/>
          <w:iCs/>
          <w:sz w:val="24"/>
          <w:szCs w:val="24"/>
        </w:rPr>
        <w:t xml:space="preserve">Journal of Health Care for the Poor and Underserved, 9</w:t>
      </w:r>
      <w:r>
        <w:rPr>
          <w:rFonts w:ascii="Times New Roman" w:cs="Times New Roman" w:eastAsia="Times New Roman" w:hAnsi="Times New Roman"/>
          <w:sz w:val="24"/>
          <w:szCs w:val="24"/>
        </w:rPr>
        <w:t xml:space="preserve">(2), 117-125. https://doi.org/10.1353/hpu.2010.0233</w:t>
      </w:r>
    </w:p>
    <w:p>
      <w:pPr>
        <w:spacing w:line="480"/>
        <w:ind w:left="720" w:hanging="720"/>
      </w:pPr>
      <w:r>
        <w:rPr>
          <w:rFonts w:ascii="Times New Roman" w:cs="Times New Roman" w:eastAsia="Times New Roman" w:hAnsi="Times New Roman"/>
          <w:sz w:val="24"/>
          <w:szCs w:val="24"/>
        </w:rPr>
        <w:t xml:space="preserve">U.S. Department of Health and Human Services, Office of Inspector General. (2026, February 3). </w:t>
      </w:r>
      <w:r>
        <w:rPr>
          <w:rFonts w:ascii="Times New Roman" w:cs="Times New Roman" w:eastAsia="Times New Roman" w:hAnsi="Times New Roman"/>
          <w:i/>
          <w:iCs/>
          <w:sz w:val="24"/>
          <w:szCs w:val="24"/>
        </w:rPr>
        <w:t xml:space="preserve">Compliance</w:t>
      </w:r>
      <w:r>
        <w:rPr>
          <w:rFonts w:ascii="Times New Roman" w:cs="Times New Roman" w:eastAsia="Times New Roman" w:hAnsi="Times New Roman"/>
          <w:sz w:val="24"/>
          <w:szCs w:val="24"/>
        </w:rPr>
        <w:t xml:space="preserve">. https://www.oig.hhs.gov/compliance/</w:t>
      </w:r>
    </w:p>
    <w:p>
      <w:pPr>
        <w:spacing w:line="480"/>
        <w:ind w:left="720" w:hanging="720"/>
      </w:pPr>
      <w:r>
        <w:rPr>
          <w:rFonts w:ascii="Times New Roman" w:cs="Times New Roman" w:eastAsia="Times New Roman" w:hAnsi="Times New Roman"/>
          <w:sz w:val="24"/>
          <w:szCs w:val="24"/>
        </w:rPr>
        <w:t xml:space="preserve">Xiong, H., Waters, D., Huang, J., Liu, Q., &amp; Lin, S. (2023). Quantitative systematic review of the transformational leadership style as a driver of nurses' organisational commitment. </w:t>
      </w:r>
      <w:r>
        <w:rPr>
          <w:rFonts w:ascii="Times New Roman" w:cs="Times New Roman" w:eastAsia="Times New Roman" w:hAnsi="Times New Roman"/>
          <w:i/>
          <w:iCs/>
          <w:sz w:val="24"/>
          <w:szCs w:val="24"/>
        </w:rPr>
        <w:t xml:space="preserve">Nursing Open, 10</w:t>
      </w:r>
      <w:r>
        <w:rPr>
          <w:rFonts w:ascii="Times New Roman" w:cs="Times New Roman" w:eastAsia="Times New Roman" w:hAnsi="Times New Roman"/>
          <w:sz w:val="24"/>
          <w:szCs w:val="24"/>
        </w:rPr>
        <w:t xml:space="preserve">(7), 4160-4171. https://doi.org/10.1002/nop2.1671</w:t>
      </w:r>
    </w:p>
    <w:sectPr>
      <w:head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2026-10-14T08:06:14.897Z</dcterms:created>
  <dcterms:modified xsi:type="dcterms:W3CDTF">2026-10-14T08:06:14.911Z</dcterms:modified>
</cp:coreProperties>
</file>

<file path=docProps/custom.xml><?xml version="1.0" encoding="utf-8"?>
<Properties xmlns="http://schemas.openxmlformats.org/officeDocument/2006/custom-properties" xmlns:vt="http://schemas.openxmlformats.org/officeDocument/2006/docPropsVTypes"/>
</file>