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pPr>
    </w:p>
    <w:p>
      <w:pPr>
        <w:spacing w:after="0" w:before="0" w:line="480"/>
      </w:pPr>
    </w:p>
    <w:p>
      <w:pPr>
        <w:spacing w:after="0" w:before="0" w:line="480"/>
      </w:pPr>
    </w:p>
    <w:p>
      <w:pPr>
        <w:spacing w:after="0" w:before="0" w:line="480"/>
        <w:jc w:val="center"/>
      </w:pPr>
      <w:commentRangeStart w:id="0"/>
      <w:r>
        <w:rPr>
          <w:b/>
          <w:bCs/>
        </w:rPr>
        <w:t xml:space="preserve">Slavery in Two Sources: The Fugitive Blacksmith and A Guide to the History of Slavery in Maryland</w:t>
      </w:r>
      <w:commentRangeEnd w:id="0"/>
      <w:r>
        <w:commentReference w:id="0"/>
      </w:r>
    </w:p>
    <w:p>
      <w:pPr>
        <w:spacing w:after="0" w:before="0" w:line="480"/>
      </w:pPr>
    </w:p>
    <w:p>
      <w:pPr>
        <w:spacing w:after="0" w:before="0" w:line="480"/>
        <w:jc w:val="center"/>
      </w:pPr>
      <w:r>
        <w:rPr>
          <w:b w:val="false"/>
          <w:bCs w:val="false"/>
        </w:rPr>
        <w:t xml:space="preserve">Jordan Hale</w:t>
      </w:r>
    </w:p>
    <w:p>
      <w:pPr>
        <w:spacing w:after="0" w:before="0" w:line="480"/>
        <w:jc w:val="center"/>
      </w:pPr>
      <w:r>
        <w:rPr>
          <w:b w:val="false"/>
          <w:bCs w:val="false"/>
        </w:rPr>
        <w:t xml:space="preserve">Western Governors University</w:t>
      </w:r>
    </w:p>
    <w:p>
      <w:pPr>
        <w:spacing w:after="0" w:before="0" w:line="480"/>
        <w:jc w:val="center"/>
      </w:pPr>
      <w:r>
        <w:rPr>
          <w:b w:val="false"/>
          <w:bCs w:val="false"/>
        </w:rPr>
        <w:t xml:space="preserve">D267</w:t>
      </w:r>
    </w:p>
    <w:p>
      <w:pPr>
        <w:spacing w:after="0" w:before="0" w:line="480"/>
        <w:jc w:val="center"/>
      </w:pPr>
      <w:r>
        <w:rPr>
          <w:b w:val="false"/>
          <w:bCs w:val="false"/>
        </w:rPr>
        <w:t xml:space="preserve">Task 1</w:t>
      </w:r>
    </w:p>
    <w:p>
      <w:pPr>
        <w:spacing w:after="0" w:before="0" w:line="480"/>
        <w:jc w:val="center"/>
      </w:pPr>
      <w:r>
        <w:rPr>
          <w:b w:val="false"/>
          <w:bCs w:val="false"/>
        </w:rPr>
        <w:t xml:space="preserve">October 15, 2026</w:t>
      </w:r>
    </w:p>
    <w:p>
      <w:pPr>
        <w:spacing w:after="0" w:before="0" w:line="480"/>
      </w:pPr>
    </w:p>
    <w:p>
      <w:pPr>
        <w:spacing w:after="0" w:before="0" w:line="480"/>
      </w:pPr>
    </w:p>
    <w:p>
      <w:pPr>
        <w:pBdr>
          <w:top w:val="single" w:color="1F3A5F" w:sz="6" w:space="6"/>
          <w:left w:val="single" w:color="1F3A5F" w:sz="6" w:space="6"/>
          <w:bottom w:val="single" w:color="1F3A5F" w:sz="6" w:space="6"/>
          <w:right w:val="single" w:color="1F3A5F" w:sz="6" w:space="6"/>
        </w:pBdr>
        <w:spacing w:after="120" w:line="276"/>
        <w:jc w:val="center"/>
      </w:pPr>
      <w:r>
        <w:rPr>
          <w:b/>
          <w:bCs/>
        </w:rPr>
        <w:t xml:space="preserve">Note: </w:t>
      </w:r>
      <w:r>
        <w:rPr>
          <w:i/>
          <w:iCs/>
        </w:rPr>
        <w:t xml:space="preserve">This paper is an example for illustration purposes only. The student is fictitious. It analyzes two real historical sources that are NOT on the WGU Primary and Secondary Sources List, so it shows the structure of D267 Task 1 without answering it. Do not submit this paper or any part of it for grading. If you need assistance with your D267 Task 1, contact Gradevia on WhatsApp at </w:t>
      </w:r>
      <w:r>
        <w:rPr>
          <w:b/>
          <w:bCs/>
          <w:i/>
          <w:iCs/>
        </w:rPr>
        <w:t xml:space="preserve">+1 564 544 6924</w:t>
      </w:r>
      <w:r>
        <w:rPr>
          <w:i/>
          <w:iCs/>
        </w:rPr>
        <w:t xml:space="preserve"> or email </w:t>
      </w:r>
      <w:r>
        <w:rPr>
          <w:b/>
          <w:bCs/>
          <w:i/>
          <w:iCs/>
        </w:rPr>
        <w:t xml:space="preserve">Support@gradevia.com</w:t>
      </w:r>
      <w:r>
        <w:rPr>
          <w:i/>
          <w:iCs/>
        </w:rPr>
        <w:t xml:space="preserve">.</w:t>
      </w:r>
    </w:p>
    <w:p>
      <w:r>
        <w:br w:type="page"/>
      </w:r>
    </w:p>
    <w:p>
      <w:pPr>
        <w:spacing w:after="0" w:before="0" w:line="480"/>
        <w:jc w:val="center"/>
      </w:pPr>
      <w:r>
        <w:rPr>
          <w:b/>
          <w:bCs/>
        </w:rPr>
        <w:t xml:space="preserve">Slavery in Two Sources: The Fugitive Blacksmith and A Guide to the History of Slavery in Maryland</w:t>
      </w:r>
    </w:p>
    <w:p>
      <w:pPr>
        <w:spacing w:after="0" w:before="0" w:line="480"/>
        <w:ind w:firstLine="720"/>
      </w:pPr>
      <w:commentRangeStart w:id="1"/>
      <w:r>
        <w:t xml:space="preserve">This paper analyzes one primary source, James W. C. Pennington's 1849 narrative </w:t>
      </w:r>
      <w:r>
        <w:rPr>
          <w:i/>
          <w:iCs/>
        </w:rPr>
        <w:t xml:space="preserve">The Fugitive Blacksmith</w:t>
      </w:r>
      <w:r>
        <w:t xml:space="preserve">, and one secondary source, the Maryland State Archives' </w:t>
      </w:r>
      <w:r>
        <w:rPr>
          <w:i/>
          <w:iCs/>
        </w:rPr>
        <w:t xml:space="preserve">A Guide to the History of Slavery in Maryland</w:t>
      </w:r>
      <w:r>
        <w:t xml:space="preserve"> (2020). It examines Pennington's perspective, compares how the two sources depict slavery in Maryland, and reflects on what the primary source adds to an understanding of enslaved people's experiences.</w:t>
      </w:r>
      <w:commentRangeEnd w:id="1"/>
      <w:r>
        <w:commentReference w:id="1"/>
      </w:r>
    </w:p>
    <w:p>
      <w:pPr>
        <w:keepNext/>
        <w:spacing w:after="0" w:before="0" w:line="480"/>
        <w:jc w:val="center"/>
      </w:pPr>
      <w:r>
        <w:rPr>
          <w:b/>
          <w:bCs/>
        </w:rPr>
        <w:t xml:space="preserve">Part A: The Perspective of the Primary Source Author</w:t>
      </w:r>
    </w:p>
    <w:p>
      <w:pPr>
        <w:keepNext/>
        <w:spacing w:after="0" w:before="0" w:line="480"/>
      </w:pPr>
      <w:r>
        <w:rPr>
          <w:b/>
          <w:bCs/>
        </w:rPr>
        <w:t xml:space="preserve">A1. Two Factors That Affected the Author</w:t>
      </w:r>
    </w:p>
    <w:p>
      <w:pPr>
        <w:spacing w:after="0" w:before="0" w:line="480"/>
        <w:ind w:firstLine="720"/>
      </w:pPr>
      <w:r>
        <w:t xml:space="preserve">The first factor was Maryland's system of chattel slavery, which treated enslaved people as property and kept them from learning to read. Pennington wrote that when he escaped at twenty-one, "I cannot write my own name, nor do I know the letters of the alphabet" (Pennington, 1849, Chapter IV). Because the law and custom of slavery denied him education, his later life as a minister and author stands in sharp contrast to what the system allowed him.</w:t>
      </w:r>
      <w:commentRangeStart w:id="2"/>
      <w:r>
        <w:t xml:space="preserve"> The second factor was federal fugitive slave law. Beginning with the Fugitive Slave Act of 1793, enslavers could reclaim people who escaped to free states. Pennington was still legally a fugitive when his narrative appeared, and it was published in London, where slavery had been abolished in the British colonies in 1833. This legal danger shaped what he could safely reveal and gave him a sympathetic British audience.</w:t>
      </w:r>
      <w:commentRangeEnd w:id="2"/>
      <w:r>
        <w:commentReference w:id="2"/>
      </w:r>
    </w:p>
    <w:p>
      <w:pPr>
        <w:keepNext/>
        <w:spacing w:after="0" w:before="0" w:line="480"/>
      </w:pPr>
      <w:r>
        <w:rPr>
          <w:b/>
          <w:bCs/>
        </w:rPr>
        <w:t xml:space="preserve">A2. Two Main Ideas the Author Conveyed</w:t>
      </w:r>
    </w:p>
    <w:p>
      <w:pPr>
        <w:spacing w:after="0" w:before="0" w:line="480"/>
        <w:ind w:firstLine="720"/>
      </w:pPr>
      <w:r>
        <w:t xml:space="preserve">Pennington's first main idea is that slavery's central evil is treating a person as property. In his preface he wrote, "THE SIN of slavery lies in the chattel principle, or relation," adding that this relation "robs him of his manhood, and transfers his ownership in himself to another" (Pennington, 1849, Preface). For Pennington, even an enslaver who seemed kind still held another person as property, and that relation was the wrong itself.</w:t>
      </w:r>
      <w:r>
        <w:t xml:space="preserve"> His second main idea is that violence against family members could push an enslaved person to risk everything. He described his father being beaten with "fifteen or twenty severe stripes" (Pennington, 1849, Chapter I) and presented the abuse of his family as central to his decision to flee. The narrative shows escape as a response to cruelty that a person could no longer accept.</w:t>
      </w:r>
    </w:p>
    <w:p>
      <w:pPr>
        <w:keepNext/>
        <w:spacing w:after="0" w:before="0" w:line="480"/>
        <w:jc w:val="center"/>
      </w:pPr>
      <w:r>
        <w:rPr>
          <w:b/>
          <w:bCs/>
        </w:rPr>
        <w:t xml:space="preserve">Part B: Comparing the Primary and Secondary Sources</w:t>
      </w:r>
    </w:p>
    <w:p>
      <w:pPr>
        <w:keepNext/>
        <w:spacing w:after="0" w:before="0" w:line="480"/>
      </w:pPr>
      <w:r>
        <w:rPr>
          <w:b/>
          <w:bCs/>
        </w:rPr>
        <w:t xml:space="preserve">B1. Two Main Ideas in the Secondary Source</w:t>
      </w:r>
    </w:p>
    <w:p>
      <w:pPr>
        <w:spacing w:after="0" w:before="0" w:line="480"/>
        <w:ind w:firstLine="720"/>
      </w:pPr>
      <w:r>
        <w:t xml:space="preserve">The first main idea of the Maryland State Archives guide is that slavery was foundational to Maryland, from the colony's founding in 1634 until the state's 1864 constitution abolished it, and that enslaved labor drove its economy (Maryland State Archives, 2020). The second main idea is that slavery in Maryland changed over time. The guide traces how enslavers came to rely on enslaved people's skilled labor, noting that planters "trained enslaved men and women to fashion barrels, weave cloth, and smelt iron" (Maryland State Archives, 2020, p. 9), and how many Marylanders were later sold away to the cotton South.</w:t>
      </w:r>
    </w:p>
    <w:p>
      <w:pPr>
        <w:keepNext/>
        <w:spacing w:after="0" w:before="0" w:line="480"/>
      </w:pPr>
      <w:r>
        <w:rPr>
          <w:b/>
          <w:bCs/>
        </w:rPr>
        <w:t xml:space="preserve">B2. How Each Source Depicts Slavery</w:t>
      </w:r>
    </w:p>
    <w:p>
      <w:pPr>
        <w:spacing w:after="0" w:before="0" w:line="480"/>
        <w:ind w:firstLine="720"/>
      </w:pPr>
      <w:r>
        <w:t xml:space="preserve">Pennington depicts slavery from the inside, through his own experience. His first example is the beating of his father, which he describes in physical detail (Pennington, 1849, Chapter I). His second is his own training as a skilled worker: he was "placed at the business, which I soon learned, so as to be called a 'first-rate blacksmith'" (Pennington, 1849, Chapter I).</w:t>
      </w:r>
      <w:r>
        <w:t xml:space="preserve"> The guide depicts slavery from above, as a system. Its first example is economic: Maryland enslavers "sold an estimated 20,000 people to the cotton planters of the south" (Maryland State Archives, 2020, p. 14). Its second is the training of enslaved people in skilled trades such as barrel making, weaving, and iron smelting (Maryland State Archives, 2020, p. 9).</w:t>
      </w:r>
      <w:commentRangeStart w:id="3"/>
      <w:r>
        <w:t xml:space="preserve"> Both sources show that enslaved Marylanders did skilled work, but they depict it differently. The guide presents skilled labor as part of a statewide economy, while Pennington shows what it meant for one person: his skill made him valuable to his enslaver but did not protect his family from violence. The guide counts the people sold away; Pennington shows the fear and cruelty that individual people lived with.</w:t>
      </w:r>
      <w:commentRangeEnd w:id="3"/>
      <w:r>
        <w:commentReference w:id="3"/>
      </w:r>
    </w:p>
    <w:p>
      <w:pPr>
        <w:keepNext/>
        <w:spacing w:after="0" w:before="0" w:line="480"/>
        <w:jc w:val="center"/>
      </w:pPr>
      <w:r>
        <w:rPr>
          <w:b/>
          <w:bCs/>
        </w:rPr>
        <w:t xml:space="preserve">Part C: Reflection</w:t>
      </w:r>
    </w:p>
    <w:p>
      <w:pPr>
        <w:keepNext/>
        <w:spacing w:after="0" w:before="0" w:line="480"/>
      </w:pPr>
      <w:r>
        <w:rPr>
          <w:b/>
          <w:bCs/>
        </w:rPr>
        <w:t xml:space="preserve">C1. An Aspect That Expanded My Understanding</w:t>
      </w:r>
    </w:p>
    <w:p>
      <w:pPr>
        <w:spacing w:after="0" w:before="0" w:line="480"/>
        <w:ind w:firstLine="720"/>
      </w:pPr>
      <w:r>
        <w:t xml:space="preserve">Before reading Pennington, I understood slavery mainly as forced labor. His narrative showed me that the harm also came from never owning yourself, even when the work itself was skilled and valued. His statement that the chattel relation "transfers his ownership in himself to another" (Pennington, 1849, Preface) changed how I think about enslaved craftsmen. A first-rate blacksmith still did not own himself, could not protect his father from a beating, and could be sold at any time.</w:t>
      </w:r>
    </w:p>
    <w:p>
      <w:pPr>
        <w:keepNext/>
        <w:spacing w:after="0" w:before="0" w:line="480"/>
      </w:pPr>
      <w:r>
        <w:rPr>
          <w:b/>
          <w:bCs/>
        </w:rPr>
        <w:t xml:space="preserve">C2. Why Primary Sources Matter</w:t>
      </w:r>
    </w:p>
    <w:p>
      <w:pPr>
        <w:spacing w:after="0" w:before="0" w:line="480"/>
        <w:ind w:firstLine="720"/>
      </w:pPr>
      <w:r>
        <w:t xml:space="preserve">Primary sources let people who lived through slavery describe it in their own terms. A secondary source like the Maryland guide can explain how many people were sold and why, but it cannot convey what Pennington felt about his father's punishment or why he chose to risk escape. Reading the people who lived in the era also shows what they chose to emphasize and what they could safely say, which is itself evidence of the pressures they lived under.</w:t>
      </w:r>
    </w:p>
    <w:p>
      <w:pPr>
        <w:pageBreakBefore/>
        <w:spacing w:after="0" w:before="0" w:line="480"/>
        <w:jc w:val="center"/>
      </w:pPr>
      <w:r>
        <w:rPr>
          <w:b/>
          <w:bCs/>
        </w:rPr>
        <w:t xml:space="preserve">References</w:t>
      </w:r>
    </w:p>
    <w:p>
      <w:pPr>
        <w:spacing w:after="0" w:before="0" w:line="480"/>
        <w:ind w:left="720" w:hanging="720"/>
      </w:pPr>
      <w:r>
        <w:t xml:space="preserve">Maryland State Archives. (2020). </w:t>
      </w:r>
      <w:r>
        <w:rPr>
          <w:i/>
          <w:iCs/>
        </w:rPr>
        <w:t xml:space="preserve">A guide to the history of slavery in Maryland</w:t>
      </w:r>
      <w:r>
        <w:t xml:space="preserve"> (Rev. ed.). https://msa.maryland.gov/msa/mdslavery/pdf/md-slavery-guide-2020.pdf</w:t>
      </w:r>
    </w:p>
    <w:p>
      <w:pPr>
        <w:spacing w:after="0" w:before="0" w:line="480"/>
        <w:ind w:left="720" w:hanging="720"/>
      </w:pPr>
      <w:r>
        <w:t xml:space="preserve">Pennington, J. W. C. (1849). </w:t>
      </w:r>
      <w:r>
        <w:rPr>
          <w:i/>
          <w:iCs/>
        </w:rPr>
        <w:t xml:space="preserve">The fugitive blacksmith; or, events in the history of James W. C. Pennington</w:t>
      </w:r>
      <w:r>
        <w:t xml:space="preserve"> (2nd ed.). Charles Gilpin. https://www.gutenberg.org/files/15130/15130-h/15130-h.htm</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Gradevia Editorial" w:date="2026-10-15T00:00:00.000Z">
    <w:p>
      <w:r>
        <w:t xml:space="preserve">Illustrative example for study purposes only. The student is fictitious. The two sources are real, but neither is on the WGU Primary and Secondary Sources List, so this paper does not answer the task. Your submission must use one primary and one secondary source from the WGU list, in your own words.</w:t>
      </w:r>
    </w:p>
  </w:comment>
  <w:comment w:id="1" w:author="Gradevia Editorial" w:date="2026-10-15T00:00:00.000Z">
    <w:p>
      <w:r>
        <w:t xml:space="preserve">Introduction: names both sources and previews Parts A to C.</w:t>
      </w:r>
    </w:p>
  </w:comment>
  <w:comment w:id="2" w:author="Gradevia Editorial" w:date="2026-10-15T00:00:00.000Z">
    <w:p>
      <w:r>
        <w:t xml:space="preserve">Each factor is dated and specific, and the paper explains HOW it affected the author, not just that it existed.</w:t>
      </w:r>
    </w:p>
  </w:comment>
  <w:comment w:id="3" w:author="Gradevia Editorial" w:date="2026-10-15T00:00:00.000Z">
    <w:p>
      <w:r>
        <w:t xml:space="preserve">The comparison names a similarity AND a difference, which is stronger than describing each source separately.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Slavery in Two Sources: The Fugitive Blacksmith and A Guide to the History of Slavery in Maryland</dc:title>
  <dc:creator>Gradevia</dc:creator>
  <cp:lastModifiedBy>Un-named</cp:lastModifiedBy>
  <cp:revision>1</cp:revision>
  <dcterms:created xsi:type="dcterms:W3CDTF">2026-10-15T08:18:39.857Z</dcterms:created>
  <dcterms:modified xsi:type="dcterms:W3CDTF">2026-10-15T08:18:39.858Z</dcterms:modified>
</cp:coreProperties>
</file>

<file path=docProps/custom.xml><?xml version="1.0" encoding="utf-8"?>
<Properties xmlns="http://schemas.openxmlformats.org/officeDocument/2006/custom-properties" xmlns:vt="http://schemas.openxmlformats.org/officeDocument/2006/docPropsVTypes"/>
</file>