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480"/>
      </w:pPr>
    </w:p>
    <w:p>
      <w:pPr>
        <w:spacing w:after="0" w:before="0" w:line="480"/>
      </w:pPr>
    </w:p>
    <w:p>
      <w:pPr>
        <w:spacing w:after="0" w:before="0" w:line="480"/>
      </w:pPr>
    </w:p>
    <w:p>
      <w:pPr>
        <w:spacing w:after="0" w:before="0" w:line="480"/>
        <w:jc w:val="center"/>
      </w:pPr>
      <w:commentRangeStart w:id="0"/>
      <w:r>
        <w:rPr>
          <w:b/>
          <w:bCs/>
        </w:rPr>
        <w:t xml:space="preserve">Expanding the Vote: Lucy Stone, the 26th Amendment, and the National Voter Registration Act</w:t>
      </w:r>
      <w:commentRangeEnd w:id="0"/>
      <w:r>
        <w:commentReference w:id="0"/>
      </w:r>
    </w:p>
    <w:p>
      <w:pPr>
        <w:spacing w:after="0" w:before="0" w:line="480"/>
      </w:pPr>
    </w:p>
    <w:p>
      <w:pPr>
        <w:spacing w:after="0" w:before="0" w:line="480"/>
        <w:jc w:val="center"/>
      </w:pPr>
      <w:r>
        <w:rPr>
          <w:b w:val="false"/>
          <w:bCs w:val="false"/>
        </w:rPr>
        <w:t xml:space="preserve">Riley Morgan</w:t>
      </w:r>
    </w:p>
    <w:p>
      <w:pPr>
        <w:spacing w:after="0" w:before="0" w:line="480"/>
        <w:jc w:val="center"/>
      </w:pPr>
      <w:r>
        <w:rPr>
          <w:b w:val="false"/>
          <w:bCs w:val="false"/>
        </w:rPr>
        <w:t xml:space="preserve">Western Governors University</w:t>
      </w:r>
    </w:p>
    <w:p>
      <w:pPr>
        <w:spacing w:after="0" w:before="0" w:line="480"/>
        <w:jc w:val="center"/>
      </w:pPr>
      <w:r>
        <w:rPr>
          <w:b w:val="false"/>
          <w:bCs w:val="false"/>
        </w:rPr>
        <w:t xml:space="preserve">D267</w:t>
      </w:r>
    </w:p>
    <w:p>
      <w:pPr>
        <w:spacing w:after="0" w:before="0" w:line="480"/>
        <w:jc w:val="center"/>
      </w:pPr>
      <w:r>
        <w:rPr>
          <w:b w:val="false"/>
          <w:bCs w:val="false"/>
        </w:rPr>
        <w:t xml:space="preserve">Task 2</w:t>
      </w:r>
    </w:p>
    <w:p>
      <w:pPr>
        <w:spacing w:after="0" w:before="0" w:line="480"/>
        <w:jc w:val="center"/>
      </w:pPr>
      <w:r>
        <w:rPr>
          <w:b w:val="false"/>
          <w:bCs w:val="false"/>
        </w:rPr>
        <w:t xml:space="preserve">October 15, 2026</w:t>
      </w:r>
    </w:p>
    <w:p>
      <w:pPr>
        <w:spacing w:after="0" w:before="0" w:line="480"/>
      </w:pPr>
    </w:p>
    <w:p>
      <w:pPr>
        <w:spacing w:after="0" w:before="0" w:line="480"/>
      </w:pPr>
    </w:p>
    <w:p>
      <w:pPr>
        <w:pBdr>
          <w:top w:val="single" w:color="1F3A5F" w:sz="6" w:space="6"/>
          <w:left w:val="single" w:color="1F3A5F" w:sz="6" w:space="6"/>
          <w:bottom w:val="single" w:color="1F3A5F" w:sz="6" w:space="6"/>
          <w:right w:val="single" w:color="1F3A5F" w:sz="6" w:space="6"/>
        </w:pBdr>
        <w:spacing w:after="120" w:line="276"/>
        <w:jc w:val="center"/>
      </w:pPr>
      <w:r>
        <w:rPr>
          <w:b/>
          <w:bCs/>
        </w:rPr>
        <w:t xml:space="preserve">Note: </w:t>
      </w:r>
      <w:r>
        <w:rPr>
          <w:i/>
          <w:iCs/>
        </w:rPr>
        <w:t xml:space="preserve">This paper is an example for illustration purposes only. The student is fictitious. It uses an individual who is not on the WGU list, the 26th Amendment instead of the 15th or 19th, and the National Voter Registration Act instead of the Voting Rights Act, so it shows the structure of D267 Task 2 without answering it. Do not submit this paper or any part of it for grading. If you need assistance with your D267 Task 2, contact Gradevia on WhatsApp at </w:t>
      </w:r>
      <w:r>
        <w:rPr>
          <w:b/>
          <w:bCs/>
          <w:i/>
          <w:iCs/>
        </w:rPr>
        <w:t xml:space="preserve">+1 564 544 6924</w:t>
      </w:r>
      <w:r>
        <w:rPr>
          <w:i/>
          <w:iCs/>
        </w:rPr>
        <w:t xml:space="preserve"> or email </w:t>
      </w:r>
      <w:r>
        <w:rPr>
          <w:b/>
          <w:bCs/>
          <w:i/>
          <w:iCs/>
        </w:rPr>
        <w:t xml:space="preserve">Support@gradevia.com</w:t>
      </w:r>
      <w:r>
        <w:rPr>
          <w:i/>
          <w:iCs/>
        </w:rPr>
        <w:t xml:space="preserve">.</w:t>
      </w:r>
    </w:p>
    <w:p>
      <w:r>
        <w:br w:type="page"/>
      </w:r>
    </w:p>
    <w:p>
      <w:pPr>
        <w:spacing w:after="0" w:before="0" w:line="480"/>
        <w:jc w:val="center"/>
      </w:pPr>
      <w:r>
        <w:rPr>
          <w:b/>
          <w:bCs/>
        </w:rPr>
        <w:t xml:space="preserve">Expanding the Vote: Lucy Stone, the 26th Amendment, and the National Voter Registration Act</w:t>
      </w:r>
    </w:p>
    <w:p>
      <w:pPr>
        <w:spacing w:after="0" w:before="0" w:line="480"/>
        <w:ind w:firstLine="720"/>
      </w:pPr>
      <w:r>
        <w:t xml:space="preserve">This paper examines one individual who worked to expand voting rights before 1925, one constitutional amendment that extended the vote, and one federal voting law. Together they show how voting rights in the United States expanded through activism, amendment, and legislation, and how each step met resistance.</w:t>
      </w:r>
    </w:p>
    <w:p>
      <w:pPr>
        <w:keepNext/>
        <w:spacing w:after="0" w:before="0" w:line="480"/>
        <w:jc w:val="center"/>
      </w:pPr>
      <w:commentRangeStart w:id="1"/>
      <w:r>
        <w:rPr>
          <w:b/>
          <w:bCs/>
        </w:rPr>
        <w:t xml:space="preserve">Part A: Lucy Stone and the Expansion of Voting Rights</w:t>
      </w:r>
      <w:commentRangeEnd w:id="1"/>
      <w:r>
        <w:commentReference w:id="1"/>
      </w:r>
    </w:p>
    <w:p>
      <w:pPr>
        <w:keepNext/>
        <w:spacing w:after="0" w:before="0" w:line="480"/>
      </w:pPr>
      <w:r>
        <w:rPr>
          <w:b/>
          <w:bCs/>
        </w:rPr>
        <w:t xml:space="preserve">A1. How Stone Demonstrated Her Position</w:t>
      </w:r>
    </w:p>
    <w:p>
      <w:pPr>
        <w:spacing w:after="0" w:before="0" w:line="480"/>
        <w:ind w:firstLine="720"/>
      </w:pPr>
      <w:r>
        <w:t xml:space="preserve">Lucy Stone demonstrated her position that women deserved the vote through a direct protest in 1858. She refused to pay the property taxes on her home, arguing that she should not be taxed by a government in which she had no vote (Oberlin College, 2004). Officials auctioned some of her household goods to cover the unpaid tax (National Park Service, 2026). The protest turned the founding principle of no taxation without representation into an argument for women's suffrage.</w:t>
      </w:r>
    </w:p>
    <w:p>
      <w:pPr>
        <w:keepNext/>
        <w:spacing w:after="0" w:before="0" w:line="480"/>
      </w:pPr>
      <w:r>
        <w:rPr>
          <w:b/>
          <w:bCs/>
        </w:rPr>
        <w:t xml:space="preserve">A2. Stone's Contribution to Changes Before 1925</w:t>
      </w:r>
    </w:p>
    <w:p>
      <w:pPr>
        <w:spacing w:after="0" w:before="0" w:line="480"/>
        <w:ind w:firstLine="720"/>
      </w:pPr>
      <w:commentRangeStart w:id="2"/>
      <w:r>
        <w:t xml:space="preserve">Stone contributed to changes in voting rights by championing a state-by-state strategy. In 1867 she campaigned for woman suffrage amendments in Kansas and New York, and in 1869 she helped found the American Woman Suffrage Association, which pursued suffrage through state campaigns rather than a single federal amendment (Oberlin College, 2004). One specific change came in her own state in 1879, when Massachusetts granted women a limited right to vote for school committee members. Stone's own attempt to use that right shows both the progress and its limits: Boston registrars refused to register her unless she used her husband's surname (Oberlin College, 2004).</w:t>
      </w:r>
      <w:commentRangeEnd w:id="2"/>
      <w:r>
        <w:commentReference w:id="2"/>
      </w:r>
    </w:p>
    <w:p>
      <w:pPr>
        <w:keepNext/>
        <w:spacing w:after="0" w:before="0" w:line="480"/>
        <w:jc w:val="center"/>
      </w:pPr>
      <w:commentRangeStart w:id="3"/>
      <w:r>
        <w:rPr>
          <w:b/>
          <w:bCs/>
        </w:rPr>
        <w:t xml:space="preserve">Part B: The 26th Amendment</w:t>
      </w:r>
      <w:commentRangeEnd w:id="3"/>
      <w:r>
        <w:commentReference w:id="3"/>
      </w:r>
    </w:p>
    <w:p>
      <w:pPr>
        <w:keepNext/>
        <w:spacing w:after="0" w:before="0" w:line="480"/>
      </w:pPr>
      <w:r>
        <w:rPr>
          <w:b/>
          <w:bCs/>
        </w:rPr>
        <w:t xml:space="preserve">B1. Intended Outcome</w:t>
      </w:r>
    </w:p>
    <w:p>
      <w:pPr>
        <w:spacing w:after="0" w:before="0" w:line="480"/>
        <w:ind w:firstLine="720"/>
      </w:pPr>
      <w:r>
        <w:t xml:space="preserve">The 26th Amendment, passed by Congress on March 23, 1971, and ratified on July 1, 1971, provides that the right of citizens "who are eighteen years of age or older, to vote shall not be denied or abridged by the United States or by any State on account of age" (National Archives, n.d.). Its intended outcome was to extend the vote in all elections to citizens aged 18 to 20, who had previously been barred by state age limits.</w:t>
      </w:r>
    </w:p>
    <w:p>
      <w:pPr>
        <w:keepNext/>
        <w:spacing w:after="0" w:before="0" w:line="480"/>
      </w:pPr>
      <w:r>
        <w:rPr>
          <w:b/>
          <w:bCs/>
        </w:rPr>
        <w:t xml:space="preserve">B2. A Practice That Undermined the Intended Outcome</w:t>
      </w:r>
    </w:p>
    <w:p>
      <w:pPr>
        <w:spacing w:after="0" w:before="0" w:line="480"/>
        <w:ind w:firstLine="720"/>
      </w:pPr>
      <w:r>
        <w:t xml:space="preserve">One practice that undermined the amendment was the use of extra residency questioning to keep college students off the rolls. In Waller County, Texas, the voting registrar routinely registered residents he knew or found on the tax rolls, but required others, including college students, to complete a questionnaire about their property, employment, and future plans, including whether they intended "to reside in Waller County indefinitely" (Symm v. United States, 1979). A federal court found that these practices violated the 26th Amendment, and the Supreme Court affirmed that judgment in 1979. The case shows how an amendment that guaranteed the right on paper could be narrowed through registration procedures.</w:t>
      </w:r>
    </w:p>
    <w:p>
      <w:pPr>
        <w:keepNext/>
        <w:spacing w:after="0" w:before="0" w:line="480"/>
        <w:jc w:val="center"/>
      </w:pPr>
      <w:commentRangeStart w:id="4"/>
      <w:r>
        <w:rPr>
          <w:b/>
          <w:bCs/>
        </w:rPr>
        <w:t xml:space="preserve">Part C: The National Voter Registration Act of 1993</w:t>
      </w:r>
      <w:commentRangeEnd w:id="4"/>
      <w:r>
        <w:commentReference w:id="4"/>
      </w:r>
    </w:p>
    <w:p>
      <w:pPr>
        <w:keepNext/>
        <w:spacing w:after="0" w:before="0" w:line="480"/>
      </w:pPr>
      <w:r>
        <w:rPr>
          <w:b/>
          <w:bCs/>
        </w:rPr>
        <w:t xml:space="preserve">C1. Intended Outcomes</w:t>
      </w:r>
    </w:p>
    <w:p>
      <w:pPr>
        <w:spacing w:after="0" w:before="0" w:line="480"/>
        <w:ind w:firstLine="720"/>
      </w:pPr>
      <w:r>
        <w:t xml:space="preserve">The National Voter Registration Act's purpose is to "enhance voting opportunities for every American" (U.S. Department of Justice, 2023). It does so by requiring states to offer voter registration when residents apply for or renew a driver's license, to offer registration at public assistance and state-funded disability offices, and to accept registration by mail. A second intended outcome is accurate rolls: the act requires states to keep voter lists "accurate and current" using uniform, nondiscriminatory practices.</w:t>
      </w:r>
    </w:p>
    <w:p>
      <w:pPr>
        <w:keepNext/>
        <w:spacing w:after="0" w:before="0" w:line="480"/>
      </w:pPr>
      <w:r>
        <w:rPr>
          <w:b/>
          <w:bCs/>
        </w:rPr>
        <w:t xml:space="preserve">C2. How the Act Addressed Systemic Failures</w:t>
      </w:r>
    </w:p>
    <w:p>
      <w:pPr>
        <w:spacing w:after="0" w:before="0" w:line="480"/>
        <w:ind w:firstLine="720"/>
      </w:pPr>
      <w:r>
        <w:t xml:space="preserve">Before the act, registration often required a separate trip to a government office during working hours, which kept many eligible citizens off the rolls even though no law denied them the vote. The NVRA addressed that systemic gap by bringing registration to offices people already visited and by allowing registration by mail. Its list maintenance rules also limit removal programs in the 90 days before a federal election, so that eligible voters are not purged just before they need to vote (U.S. Department of Justice, 2023).</w:t>
      </w:r>
    </w:p>
    <w:p>
      <w:pPr>
        <w:spacing w:after="0" w:before="0" w:line="480"/>
        <w:ind w:firstLine="720"/>
      </w:pPr>
      <w:commentRangeStart w:id="5"/>
      <w:r>
        <w:t xml:space="preserve">Lucy Stone's tax protest, the Waller County case, and the NVRA show the same pattern: rights expanded on paper, and then activists, courts, and Congress had to keep working to make those rights usable in practice.</w:t>
      </w:r>
      <w:commentRangeEnd w:id="5"/>
      <w:r>
        <w:commentReference w:id="5"/>
      </w:r>
    </w:p>
    <w:p>
      <w:pPr>
        <w:pageBreakBefore/>
        <w:spacing w:after="0" w:before="0" w:line="480"/>
        <w:jc w:val="center"/>
      </w:pPr>
      <w:r>
        <w:rPr>
          <w:b/>
          <w:bCs/>
        </w:rPr>
        <w:t xml:space="preserve">References</w:t>
      </w:r>
    </w:p>
    <w:p>
      <w:pPr>
        <w:spacing w:after="0" w:before="0" w:line="480"/>
        <w:ind w:left="720" w:hanging="720"/>
      </w:pPr>
      <w:r>
        <w:t xml:space="preserve">National Archives. (n.d.). </w:t>
      </w:r>
      <w:r>
        <w:rPr>
          <w:i/>
          <w:iCs/>
        </w:rPr>
        <w:t xml:space="preserve">The Constitution: Amendments 11–27</w:t>
      </w:r>
      <w:r>
        <w:t xml:space="preserve">. Retrieved October 15, 2026, from https://www.archives.gov/founding-docs/amendments-11-27</w:t>
      </w:r>
    </w:p>
    <w:p>
      <w:pPr>
        <w:spacing w:after="0" w:before="0" w:line="480"/>
        <w:ind w:left="720" w:hanging="720"/>
      </w:pPr>
      <w:r>
        <w:t xml:space="preserve">National Park Service. (2026, January 12). </w:t>
      </w:r>
      <w:r>
        <w:rPr>
          <w:i/>
          <w:iCs/>
        </w:rPr>
        <w:t xml:space="preserve">Lucy Stone</w:t>
      </w:r>
      <w:r>
        <w:t xml:space="preserve">. https://www.nps.gov/people/lucy-stone.htm</w:t>
      </w:r>
    </w:p>
    <w:p>
      <w:pPr>
        <w:spacing w:after="0" w:before="0" w:line="480"/>
        <w:ind w:left="720" w:hanging="720"/>
      </w:pPr>
      <w:r>
        <w:t xml:space="preserve">Oberlin College. (2004). Lucy Stone: A timeline. </w:t>
      </w:r>
      <w:r>
        <w:rPr>
          <w:i/>
          <w:iCs/>
        </w:rPr>
        <w:t xml:space="preserve">Oberlin Alumni Magazine</w:t>
      </w:r>
      <w:r>
        <w:t xml:space="preserve">. https://www2.oberlin.edu/alummag/spring2004/feat_lucy_timeline_popup.html</w:t>
      </w:r>
    </w:p>
    <w:p>
      <w:pPr>
        <w:spacing w:after="0" w:before="0" w:line="480"/>
        <w:ind w:left="720" w:hanging="720"/>
      </w:pPr>
      <w:r>
        <w:rPr>
          <w:i/>
          <w:iCs/>
        </w:rPr>
        <w:t xml:space="preserve">Symm v. United States</w:t>
      </w:r>
      <w:r>
        <w:t xml:space="preserve">, 439 U.S. 1105 (1979). https://supreme.justia.com/cases/federal/us/439/1105/</w:t>
      </w:r>
    </w:p>
    <w:p>
      <w:pPr>
        <w:spacing w:after="0" w:before="0" w:line="480"/>
        <w:ind w:left="720" w:hanging="720"/>
      </w:pPr>
      <w:r>
        <w:t xml:space="preserve">U.S. Department of Justice. (2023, April 5). </w:t>
      </w:r>
      <w:r>
        <w:rPr>
          <w:i/>
          <w:iCs/>
        </w:rPr>
        <w:t xml:space="preserve">About the National Voter Registration Act</w:t>
      </w:r>
      <w:r>
        <w:t xml:space="preserve">. https://www.justice.gov/crt/about-national-voter-registration-act</w:t>
      </w:r>
    </w:p>
    <w:sectPr>
      <w:head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comment w:id="0" w:author="Gradevia Editorial" w:date="2026-10-15T00:00:00.000Z">
    <w:p>
      <w:r>
        <w:t xml:space="preserve">Illustrative example for study purposes only. The student is fictitious. To avoid answering the task, this paper uses an individual who is NOT on the WGU list (Lucy Stone), the 26th Amendment in place of the 15th or 19th, and the National Voter Registration Act of 1993 in place of the Voting Rights Act of 1965. Your submission must use an individual from the list, the 15th or 19th Amendment, and the VRA.</w:t>
      </w:r>
    </w:p>
  </w:comment>
  <w:comment w:id="1" w:author="Gradevia Editorial" w:date="2026-10-15T00:00:00.000Z">
    <w:p>
      <w:r>
        <w:t xml:space="preserve">A: In your paper, the individual must come from the Individuals Active in Voting Rights list.</w:t>
      </w:r>
    </w:p>
  </w:comment>
  <w:comment w:id="2" w:author="Gradevia Editorial" w:date="2026-10-15T00:00:00.000Z">
    <w:p>
      <w:r>
        <w:t xml:space="preserve">The example names a specific, dated change and is honest about the individual's role in it.</w:t>
      </w:r>
    </w:p>
  </w:comment>
  <w:comment w:id="3" w:author="Gradevia Editorial" w:date="2026-10-15T00:00:00.000Z">
    <w:p>
      <w:r>
        <w:t xml:space="preserve">B: In your paper, choose the 15th OR 19th Amendment. This example substitutes the 26th to show the structure only.</w:t>
      </w:r>
    </w:p>
  </w:comment>
  <w:comment w:id="4" w:author="Gradevia Editorial" w:date="2026-10-15T00:00:00.000Z">
    <w:p>
      <w:r>
        <w:t xml:space="preserve">C: In your paper, this part must analyze the Voting Rights Act of 1965. The NVRA is used here only to show the structure.</w:t>
      </w:r>
    </w:p>
  </w:comment>
  <w:comment w:id="5" w:author="Gradevia Editorial" w:date="2026-10-15T00:00:00.000Z">
    <w:p>
      <w:r>
        <w:t xml:space="preserve">Conclusion: one sentence linking the three parts is enough.</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Expanding the Vote: Lucy Stone, the 26th Amendment, and the National Voter Registration Act</dc:title>
  <dc:creator>Gradevia</dc:creator>
  <cp:lastModifiedBy>Un-named</cp:lastModifiedBy>
  <cp:revision>1</cp:revision>
  <dcterms:created xsi:type="dcterms:W3CDTF">2026-10-15T09:14:00.229Z</dcterms:created>
  <dcterms:modified xsi:type="dcterms:W3CDTF">2026-10-15T09:14:00.230Z</dcterms:modified>
</cp:coreProperties>
</file>

<file path=docProps/custom.xml><?xml version="1.0" encoding="utf-8"?>
<Properties xmlns="http://schemas.openxmlformats.org/officeDocument/2006/custom-properties" xmlns:vt="http://schemas.openxmlformats.org/officeDocument/2006/docPropsVTypes"/>
</file>